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5"/>
        <w:framePr w:wrap="around"/>
      </w:pPr>
      <w:r>
        <w:rPr>
          <w:rFonts w:ascii="Times New Roman"/>
        </w:rPr>
        <w:t>ICS</w:t>
      </w:r>
      <w:r>
        <w:rPr>
          <w:rFonts w:ascii="Cambria Math" w:hAnsi="Cambria Math" w:cs="Cambria Math"/>
        </w:rPr>
        <w:t> </w:t>
      </w:r>
      <w:bookmarkStart w:id="0" w:name="ICS"/>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t>     </w:t>
      </w:r>
      <w:r>
        <w:fldChar w:fldCharType="end"/>
      </w:r>
      <w:bookmarkEnd w:id="0"/>
    </w:p>
    <w:p>
      <w:pPr>
        <w:pStyle w:val="125"/>
        <w:framePr w:wrap="around"/>
      </w:pPr>
      <w:bookmarkStart w:id="1" w:name="WXFLH"/>
      <w:r>
        <w:fldChar w:fldCharType="begin">
          <w:ffData>
            <w:name w:val="WXFLH"/>
            <w:enabled/>
            <w:calcOnExit w:val="0"/>
            <w:helpText w:type="text" w:val="请输入中国标准文献分类号："/>
            <w:textInput>
              <w:default w:val="点击此处添加中国标准文献分类号"/>
            </w:textInput>
          </w:ffData>
        </w:fldChar>
      </w:r>
      <w:r>
        <w:instrText xml:space="preserve"> FORMTEXT </w:instrText>
      </w:r>
      <w:r>
        <w:fldChar w:fldCharType="separate"/>
      </w:r>
      <w:r>
        <w:rPr>
          <w:rFonts w:hint="eastAsia"/>
        </w:rPr>
        <w:t>点击此处添加中国标准文献分类号</w:t>
      </w:r>
      <w:r>
        <w:fldChar w:fldCharType="end"/>
      </w:r>
      <w:bookmarkEnd w:id="1"/>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4" w:type="dxa"/>
            <w:tcBorders>
              <w:top w:val="nil"/>
              <w:left w:val="nil"/>
              <w:bottom w:val="nil"/>
              <w:right w:val="nil"/>
            </w:tcBorders>
          </w:tcPr>
          <w:p>
            <w:pPr>
              <w:pStyle w:val="125"/>
              <w:framePr w:wrap="around"/>
            </w:pPr>
            <w:r>
              <w:pict>
                <v:rect id="BAH" o:spid="_x0000_s1026" o:spt="1" style="position:absolute;left:0pt;margin-left:-5.25pt;margin-top:0pt;height:15.6pt;width:68.25pt;z-index:-251655168;mso-width-relative:page;mso-height-relative:page;"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iuL+zVAAAABwEAAA8AAAAA&#10;AAAAAQAgAAAAIgAAAGRycy9kb3ducmV2LnhtbFBLAQIUABQAAAAIAIdO4kArehmypQEAAFkDAAAO&#10;AAAAAAAAAAEAIAAAACQBAABkcnMvZTJvRG9jLnhtbFBLBQYAAAAABgAGAFkBAAA7BQAAAAA=&#10;">
                  <v:path/>
                  <v:fill focussize="0,0"/>
                  <v:stroke on="f"/>
                  <v:imagedata o:title=""/>
                  <o:lock v:ext="edit"/>
                </v:rect>
              </w:pict>
            </w:r>
            <w:r>
              <w:fldChar w:fldCharType="begin">
                <w:ffData>
                  <w:name w:val="BAH"/>
                  <w:enabled/>
                  <w:calcOnExit w:val="0"/>
                  <w:textInput/>
                </w:ffData>
              </w:fldChar>
            </w:r>
            <w:bookmarkStart w:id="2" w:name="BAH"/>
            <w:r>
              <w:instrText xml:space="preserve"> FORMTEXT </w:instrText>
            </w:r>
            <w:r>
              <w:fldChar w:fldCharType="separate"/>
            </w:r>
            <w:r>
              <w:t>     </w:t>
            </w:r>
            <w:r>
              <w:fldChar w:fldCharType="end"/>
            </w:r>
            <w:bookmarkEnd w:id="2"/>
          </w:p>
        </w:tc>
      </w:tr>
    </w:tbl>
    <w:p>
      <w:pPr>
        <w:pStyle w:val="111"/>
        <w:framePr w:wrap="around"/>
      </w:pPr>
      <w:r>
        <w:t>DB</w:t>
      </w:r>
      <w:bookmarkStart w:id="3" w:name="c3"/>
      <w:r>
        <w:fldChar w:fldCharType="begin">
          <w:ffData>
            <w:name w:val="c3"/>
            <w:enabled/>
            <w:calcOnExit w:val="0"/>
            <w:entryMacro w:val="ShowHelp16"/>
            <w:textInput>
              <w:maxLength w:val="2"/>
            </w:textInput>
          </w:ffData>
        </w:fldChar>
      </w:r>
      <w:r>
        <w:instrText xml:space="preserve"> FORMTEXT </w:instrText>
      </w:r>
      <w:r>
        <w:fldChar w:fldCharType="separate"/>
      </w:r>
      <w:r>
        <w:rPr>
          <w:rFonts w:hint="eastAsia"/>
        </w:rPr>
        <w:t>51</w:t>
      </w:r>
      <w:r>
        <w:fldChar w:fldCharType="end"/>
      </w:r>
      <w:bookmarkEnd w:id="3"/>
      <w:r>
        <w:rPr>
          <w:rFonts w:hint="eastAsia"/>
        </w:rPr>
        <w:t>04</w:t>
      </w:r>
    </w:p>
    <w:p>
      <w:pPr>
        <w:pStyle w:val="112"/>
        <w:framePr w:wrap="around"/>
      </w:pPr>
      <w:bookmarkStart w:id="4" w:name="c4"/>
      <w:r>
        <w:fldChar w:fldCharType="begin">
          <w:ffData>
            <w:name w:val="c4"/>
            <w:enabled/>
            <w:calcOnExit w:val="0"/>
            <w:entryMacro w:val="showhelp12"/>
            <w:textInput/>
          </w:ffData>
        </w:fldChar>
      </w:r>
      <w:r>
        <w:instrText xml:space="preserve"> FORMTEXT </w:instrText>
      </w:r>
      <w:r>
        <w:fldChar w:fldCharType="separate"/>
      </w:r>
      <w:r>
        <w:rPr>
          <w:rFonts w:hint="eastAsia"/>
        </w:rPr>
        <w:t>四川省（攀枝花市）</w:t>
      </w:r>
      <w:r>
        <w:fldChar w:fldCharType="end"/>
      </w:r>
      <w:bookmarkEnd w:id="4"/>
      <w:r>
        <w:rPr>
          <w:rFonts w:hint="eastAsia"/>
        </w:rPr>
        <w:t>地方标准</w:t>
      </w:r>
    </w:p>
    <w:p>
      <w:pPr>
        <w:pStyle w:val="49"/>
        <w:framePr w:wrap="around"/>
      </w:pPr>
      <w:r>
        <w:rPr>
          <w:rFonts w:ascii="Times New Roman"/>
        </w:rPr>
        <w:t xml:space="preserve">DB </w:t>
      </w:r>
      <w:bookmarkStart w:id="5" w:name="StdNo0"/>
      <w:r>
        <w:fldChar w:fldCharType="begin">
          <w:ffData>
            <w:name w:val="StdNo0"/>
            <w:enabled/>
            <w:calcOnExit w:val="0"/>
            <w:textInput>
              <w:default w:val="XX"/>
              <w:maxLength w:val="2"/>
            </w:textInput>
          </w:ffData>
        </w:fldChar>
      </w:r>
      <w:r>
        <w:instrText xml:space="preserve"> FORMTEXT </w:instrText>
      </w:r>
      <w:r>
        <w:fldChar w:fldCharType="separate"/>
      </w:r>
      <w:r>
        <w:rPr>
          <w:rFonts w:hint="eastAsia"/>
        </w:rPr>
        <w:t>5104</w:t>
      </w:r>
      <w:r>
        <w:fldChar w:fldCharType="end"/>
      </w:r>
      <w:bookmarkEnd w:id="5"/>
      <w:r>
        <w:t>/</w:t>
      </w:r>
      <w:r>
        <w:rPr>
          <w:rFonts w:hint="eastAsia"/>
        </w:rPr>
        <w:t>T XXX</w:t>
      </w:r>
      <w:r>
        <w:t>—</w:t>
      </w:r>
      <w:r>
        <w:rPr>
          <w:rFonts w:hint="eastAsia"/>
        </w:rPr>
        <w:t>2022</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78"/>
              <w:framePr w:wrap="around"/>
              <w:wordWrap w:val="0"/>
            </w:pPr>
            <w:bookmarkStart w:id="6" w:name="DT"/>
            <w:r>
              <w:pict>
                <v:rect id="DT" o:spid="_x0000_s1031" o:spt="1" style="position:absolute;left:0pt;margin-left:372.8pt;margin-top:2.7pt;height:18pt;width:90pt;z-index:-251656192;mso-width-relative:page;mso-height-relative:page;"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eYPLL1gAAAAgBAAAPAAAAAAAAAAEA&#10;IAAAACIAAABkcnMvZG93bnJldi54bWxQSwECFAAUAAAACACHTuJAIn+qBZ8BAABZAwAADgAAAAAA&#10;AAABACAAAAAlAQAAZHJzL2Uyb0RvYy54bWxQSwUGAAAAAAYABgBZAQAANgUAAAAA&#10;">
                  <v:path/>
                  <v:fill focussize="0,0"/>
                  <v:stroke on="f"/>
                  <v:imagedata o:title=""/>
                  <o:lock v:ext="edit"/>
                </v:rect>
              </w:pict>
            </w:r>
            <w:bookmarkEnd w:id="6"/>
            <w:r>
              <w:fldChar w:fldCharType="begin">
                <w:ffData>
                  <w:name w:val="DT"/>
                  <w:enabled/>
                  <w:calcOnExit w:val="0"/>
                  <w:entryMacro w:val="ShowHelp4"/>
                  <w:textInput/>
                </w:ffData>
              </w:fldChar>
            </w:r>
            <w:r>
              <w:instrText xml:space="preserve"> FORMTEXT </w:instrText>
            </w:r>
            <w:r>
              <w:fldChar w:fldCharType="separate"/>
            </w:r>
            <w:r>
              <w:t>     </w:t>
            </w:r>
            <w:r>
              <w:fldChar w:fldCharType="end"/>
            </w:r>
          </w:p>
        </w:tc>
      </w:tr>
    </w:tbl>
    <w:p>
      <w:pPr>
        <w:pStyle w:val="49"/>
        <w:framePr w:wrap="around"/>
      </w:pPr>
    </w:p>
    <w:p>
      <w:pPr>
        <w:pStyle w:val="49"/>
        <w:framePr w:wrap="around"/>
      </w:pPr>
    </w:p>
    <w:p>
      <w:pPr>
        <w:pStyle w:val="80"/>
        <w:framePr w:wrap="around" w:x="1287" w:y="5352"/>
      </w:pPr>
      <w:bookmarkStart w:id="7" w:name="StdName"/>
    </w:p>
    <w:p>
      <w:pPr>
        <w:pStyle w:val="80"/>
        <w:framePr w:wrap="around" w:x="1287" w:y="5352"/>
      </w:pPr>
    </w:p>
    <w:bookmarkEnd w:id="7"/>
    <w:p>
      <w:pPr>
        <w:pStyle w:val="80"/>
        <w:framePr w:wrap="around" w:x="1287" w:y="5352"/>
      </w:pPr>
      <w:r>
        <w:fldChar w:fldCharType="begin">
          <w:ffData>
            <w:name w:val="StdName"/>
            <w:enabled/>
            <w:calcOnExit w:val="0"/>
            <w:textInput>
              <w:default w:val="点击此处添加标准名称"/>
            </w:textInput>
          </w:ffData>
        </w:fldChar>
      </w:r>
      <w:r>
        <w:instrText xml:space="preserve"> FORMTEXT </w:instrText>
      </w:r>
      <w:r>
        <w:fldChar w:fldCharType="separate"/>
      </w:r>
      <w:r>
        <w:rPr>
          <w:rFonts w:hint="eastAsia"/>
        </w:rPr>
        <w:t xml:space="preserve">攀枝花农产品安全地方标准 </w:t>
      </w:r>
    </w:p>
    <w:p>
      <w:pPr>
        <w:pStyle w:val="80"/>
        <w:framePr w:wrap="around" w:x="1287" w:y="5352"/>
      </w:pPr>
      <w:r>
        <w:rPr>
          <w:rFonts w:hint="eastAsia"/>
        </w:rPr>
        <w:t xml:space="preserve">   枇杷</w:t>
      </w:r>
      <w:r>
        <w:t>    </w:t>
      </w:r>
      <w:r>
        <w:fldChar w:fldCharType="end"/>
      </w:r>
    </w:p>
    <w:p>
      <w:pPr>
        <w:pStyle w:val="82"/>
        <w:framePr w:wrap="around" w:x="1287" w:y="5352"/>
        <w:jc w:val="both"/>
      </w:pP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83"/>
              <w:framePr w:wrap="around" w:x="1287" w:y="5352"/>
            </w:pPr>
            <w:r>
              <w:pict>
                <v:rect id="RQ" o:spid="_x0000_s1030" o:spt="1" style="position:absolute;left:0pt;margin-left:173.3pt;margin-top:45.15pt;height:20pt;width:150pt;z-index:-251651072;mso-width-relative:page;mso-height-relative:page;"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WJrpLVAAAACgEAAA8AAAAAAAAAAQAg&#10;AAAAIgAAAGRycy9kb3ducmV2LnhtbFBLAQIUABQAAAAIAIdO4kAFobqmnwEAAFkDAAAOAAAAAAAA&#10;AAEAIAAAACQBAABkcnMvZTJvRG9jLnhtbFBLBQYAAAAABgAGAFkBAAA1BQAAAAA=&#10;">
                  <v:path/>
                  <v:fill focussize="0,0"/>
                  <v:stroke on="f"/>
                  <v:imagedata o:title=""/>
                  <o:lock v:ext="edit"/>
                  <w10:anchorlock/>
                </v:rect>
              </w:pict>
            </w:r>
            <w:r>
              <w:pict>
                <v:rect id="LB" o:spid="_x0000_s1029" o:spt="1" style="position:absolute;left:0pt;margin-left:193.3pt;margin-top:20.15pt;height:24pt;width:100pt;z-index:-251652096;mso-width-relative:page;mso-height-relative:page;"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D4Yvl1gAAAAkBAAAPAAAA&#10;AAAAAAEAIAAAACIAAABkcnMvZG93bnJldi54bWxQSwECFAAUAAAACACHTuJAO6xW1qUBAABkAwAA&#10;DgAAAAAAAAABACAAAAAlAQAAZHJzL2Uyb0RvYy54bWxQSwUGAAAAAAYABgBZAQAAPAUAAAAA&#10;">
                  <v:path/>
                  <v:fill focussize="0,0"/>
                  <v:stroke on="f"/>
                  <v:imagedata o:title=""/>
                  <o:lock v:ext="edit"/>
                  <v:textbox>
                    <w:txbxContent>
                      <w:p>
                        <w:pPr>
                          <w:jc w:val="center"/>
                        </w:pPr>
                      </w:p>
                    </w:txbxContent>
                  </v:textbox>
                </v:rect>
              </w:pict>
            </w:r>
            <w:r>
              <w:rPr>
                <w:rFonts w:hint="eastAsia"/>
              </w:rPr>
              <w:t>（征求意见稿）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84"/>
              <w:framePr w:wrap="around" w:x="1287" w:y="535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84"/>
              <w:framePr w:wrap="around" w:x="1287" w:y="5352"/>
            </w:pPr>
            <w:bookmarkStart w:id="8" w:name="FY"/>
          </w:p>
          <w:p>
            <w:pPr>
              <w:pStyle w:val="84"/>
              <w:framePr w:wrap="around" w:x="1287" w:y="5352"/>
            </w:pPr>
          </w:p>
          <w:p>
            <w:pPr>
              <w:pStyle w:val="84"/>
              <w:framePr w:wrap="around" w:x="1287" w:y="5352"/>
            </w:pPr>
          </w:p>
          <w:p>
            <w:pPr>
              <w:pStyle w:val="84"/>
              <w:framePr w:wrap="around" w:x="1287" w:y="5352"/>
            </w:pPr>
          </w:p>
          <w:p>
            <w:pPr>
              <w:pStyle w:val="84"/>
              <w:framePr w:wrap="around" w:x="1287" w:y="5352"/>
            </w:pPr>
          </w:p>
          <w:p>
            <w:pPr>
              <w:pStyle w:val="84"/>
              <w:framePr w:wrap="around" w:x="1287" w:y="5352"/>
            </w:pPr>
          </w:p>
          <w:p>
            <w:pPr>
              <w:pStyle w:val="84"/>
              <w:framePr w:wrap="around" w:x="1287" w:y="5352"/>
            </w:pPr>
          </w:p>
          <w:p>
            <w:pPr>
              <w:pStyle w:val="84"/>
              <w:framePr w:wrap="around" w:x="1287" w:y="5352"/>
            </w:pPr>
          </w:p>
          <w:p>
            <w:pPr>
              <w:pStyle w:val="84"/>
              <w:framePr w:wrap="around" w:x="1287" w:y="5352"/>
            </w:pPr>
          </w:p>
          <w:p>
            <w:pPr>
              <w:pStyle w:val="84"/>
              <w:framePr w:wrap="around" w:x="1287" w:y="5352"/>
            </w:pPr>
          </w:p>
          <w:p>
            <w:pPr>
              <w:pStyle w:val="84"/>
              <w:framePr w:wrap="around" w:x="1287" w:y="5352"/>
            </w:pPr>
          </w:p>
          <w:p>
            <w:pPr>
              <w:pStyle w:val="84"/>
              <w:framePr w:wrap="around" w:x="1287" w:y="5352"/>
            </w:pPr>
          </w:p>
          <w:p>
            <w:pPr>
              <w:pStyle w:val="84"/>
              <w:framePr w:wrap="around" w:x="1287" w:y="5352"/>
            </w:pPr>
          </w:p>
          <w:p>
            <w:pPr>
              <w:pStyle w:val="84"/>
              <w:framePr w:wrap="around" w:x="1287" w:y="5352"/>
            </w:pPr>
          </w:p>
        </w:tc>
      </w:tr>
    </w:tbl>
    <w:p>
      <w:pPr>
        <w:pStyle w:val="132"/>
        <w:framePr w:wrap="around"/>
      </w:pPr>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fldChar w:fldCharType="separate"/>
      </w:r>
      <w:r>
        <w:rPr>
          <w:rFonts w:hint="eastAsia" w:ascii="黑体"/>
        </w:rPr>
        <w:t>202</w:t>
      </w:r>
      <w:r>
        <w:rPr>
          <w:rFonts w:ascii="黑体"/>
        </w:rPr>
        <w:fldChar w:fldCharType="end"/>
      </w:r>
      <w:bookmarkEnd w:id="8"/>
      <w:r>
        <w:rPr>
          <w:rFonts w:hint="eastAsia" w:ascii="黑体"/>
        </w:rPr>
        <w:t>2</w:t>
      </w:r>
      <w:r>
        <w:rPr>
          <w:rFonts w:ascii="黑体"/>
        </w:rPr>
        <w:t>-</w:t>
      </w:r>
      <w:r>
        <w:rPr>
          <w:rFonts w:ascii="黑体"/>
        </w:rPr>
        <w:fldChar w:fldCharType="begin">
          <w:ffData>
            <w:name w:val="FM"/>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hint="eastAsia" w:ascii="黑体"/>
        </w:rPr>
        <w:t>XX</w:t>
      </w:r>
      <w:r>
        <w:rPr>
          <w:rFonts w:ascii="黑体"/>
        </w:rPr>
        <w:fldChar w:fldCharType="end"/>
      </w:r>
      <w:r>
        <w:rPr>
          <w:rFonts w:ascii="黑体"/>
        </w:rPr>
        <w:t>-</w:t>
      </w:r>
      <w:bookmarkStart w:id="9" w:name="FD"/>
      <w:r>
        <w:rPr>
          <w:rFonts w:ascii="黑体"/>
        </w:rPr>
        <w:fldChar w:fldCharType="begin">
          <w:ffData>
            <w:name w:val="FD"/>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hint="eastAsia" w:ascii="黑体"/>
        </w:rPr>
        <w:t>XX</w:t>
      </w:r>
      <w:r>
        <w:rPr>
          <w:rFonts w:ascii="黑体"/>
        </w:rPr>
        <w:fldChar w:fldCharType="end"/>
      </w:r>
      <w:bookmarkEnd w:id="9"/>
      <w:r>
        <w:rPr>
          <w:rFonts w:hint="eastAsia"/>
        </w:rPr>
        <w:t>发布</w:t>
      </w:r>
      <w:r>
        <w:pict>
          <v:line id="直线 10" o:spid="_x0000_s1028" o:spt="20" style="position:absolute;left:0pt;margin-left:-0.05pt;margin-top:728.5pt;height:0pt;width:481.9pt;mso-position-vertical-relative:page;z-index:251662336;mso-width-relative:page;mso-height-relative:page;"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WHazzWAAAACwEAAA8AAAAA&#10;AAAAAQAgAAAAIgAAAGRycy9kb3ducmV2LnhtbFBLAQIUABQAAAAIAIdO4kDzkRwM3QEAANADAAAO&#10;AAAAAAAAAAEAIAAAACUBAABkcnMvZTJvRG9jLnhtbFBLBQYAAAAABgAGAFkBAAB0BQAAAAA=&#10;">
            <v:path arrowok="t"/>
            <v:fill focussize="0,0"/>
            <v:stroke/>
            <v:imagedata o:title=""/>
            <o:lock v:ext="edit"/>
            <w10:anchorlock/>
          </v:line>
        </w:pict>
      </w:r>
    </w:p>
    <w:p>
      <w:pPr>
        <w:pStyle w:val="133"/>
        <w:framePr w:wrap="around"/>
      </w:pPr>
      <w:bookmarkStart w:id="10" w:name="SY"/>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fldChar w:fldCharType="separate"/>
      </w:r>
      <w:r>
        <w:rPr>
          <w:rFonts w:hint="eastAsia" w:ascii="黑体"/>
        </w:rPr>
        <w:t>202</w:t>
      </w:r>
      <w:r>
        <w:rPr>
          <w:rFonts w:ascii="黑体"/>
        </w:rPr>
        <w:fldChar w:fldCharType="end"/>
      </w:r>
      <w:bookmarkEnd w:id="10"/>
      <w:r>
        <w:rPr>
          <w:rFonts w:hint="eastAsia" w:ascii="黑体"/>
        </w:rPr>
        <w:t>2</w:t>
      </w:r>
      <w:r>
        <w:rPr>
          <w:rFonts w:ascii="黑体"/>
        </w:rPr>
        <w:t>-</w:t>
      </w:r>
      <w:bookmarkStart w:id="11" w:name="SM"/>
      <w:r>
        <w:rPr>
          <w:rFonts w:ascii="黑体"/>
        </w:rPr>
        <w:fldChar w:fldCharType="begin">
          <w:ffData>
            <w:name w:val="SM"/>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hint="eastAsia" w:ascii="黑体"/>
        </w:rPr>
        <w:t>XX</w:t>
      </w:r>
      <w:r>
        <w:rPr>
          <w:rFonts w:ascii="黑体"/>
        </w:rPr>
        <w:fldChar w:fldCharType="end"/>
      </w:r>
      <w:bookmarkEnd w:id="11"/>
      <w:r>
        <w:rPr>
          <w:rFonts w:ascii="黑体"/>
        </w:rPr>
        <w:t>-</w:t>
      </w:r>
      <w:bookmarkStart w:id="12" w:name="SD"/>
      <w:r>
        <w:rPr>
          <w:rFonts w:ascii="黑体"/>
        </w:rPr>
        <w:fldChar w:fldCharType="begin">
          <w:ffData>
            <w:name w:val="SD"/>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hint="eastAsia" w:ascii="黑体"/>
        </w:rPr>
        <w:t>XX</w:t>
      </w:r>
      <w:r>
        <w:rPr>
          <w:rFonts w:ascii="黑体"/>
        </w:rPr>
        <w:fldChar w:fldCharType="end"/>
      </w:r>
      <w:bookmarkEnd w:id="12"/>
      <w:r>
        <w:rPr>
          <w:rFonts w:hint="eastAsia"/>
        </w:rPr>
        <w:t>实施</w:t>
      </w:r>
    </w:p>
    <w:p>
      <w:pPr>
        <w:pStyle w:val="113"/>
        <w:framePr w:wrap="around"/>
      </w:pPr>
      <w:bookmarkStart w:id="13" w:name="fm"/>
      <w:r>
        <w:fldChar w:fldCharType="begin">
          <w:ffData>
            <w:name w:val="fm"/>
            <w:enabled/>
            <w:calcOnExit w:val="0"/>
            <w:textInput/>
          </w:ffData>
        </w:fldChar>
      </w:r>
      <w:r>
        <w:instrText xml:space="preserve"> FORMTEXT </w:instrText>
      </w:r>
      <w:r>
        <w:fldChar w:fldCharType="separate"/>
      </w:r>
      <w:r>
        <w:rPr>
          <w:rFonts w:hint="eastAsia"/>
        </w:rPr>
        <w:t>攀枝花市市场监督管理局</w:t>
      </w:r>
      <w:r>
        <w:fldChar w:fldCharType="end"/>
      </w:r>
      <w:bookmarkEnd w:id="13"/>
      <w:r>
        <w:rPr>
          <w:rFonts w:ascii="Cambria Math" w:hAnsi="Cambria Math" w:cs="Cambria Math"/>
        </w:rPr>
        <w:t>   </w:t>
      </w:r>
      <w:r>
        <w:rPr>
          <w:rStyle w:val="75"/>
          <w:rFonts w:hint="eastAsia"/>
        </w:rPr>
        <w:t>发布</w:t>
      </w:r>
    </w:p>
    <w:p>
      <w:pPr>
        <w:pStyle w:val="24"/>
      </w:pPr>
      <w:r>
        <w:pict>
          <v:line id="直线 11" o:spid="_x0000_s1027" o:spt="20" style="position:absolute;left:0pt;margin-left:-0.05pt;margin-top:183.85pt;height:0pt;width:481.9pt;z-index:251663360;mso-width-relative:page;mso-height-relative:page;" coordsize="21600,21600" o:gfxdata="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xhhLNYAAAAJAQAADwAA&#10;AAAAAAABACAAAAAiAAAAZHJzL2Rvd25yZXYueG1sUEsBAhQAFAAAAAgAh07iQDKqx63fAQAA0AMA&#10;AA4AAAAAAAAAAQAgAAAAJQEAAGRycy9lMm9Eb2MueG1sUEsFBgAAAAAGAAYAWQEAAHYFAAAAAA==&#10;">
            <v:path arrowok="t"/>
            <v:fill focussize="0,0"/>
            <v:stroke/>
            <v:imagedata o:title=""/>
            <o:lock v:ext="edit"/>
          </v:line>
        </w:pict>
      </w:r>
    </w:p>
    <w:p>
      <w:pPr>
        <w:pStyle w:val="24"/>
      </w:pPr>
    </w:p>
    <w:p>
      <w:pPr>
        <w:pStyle w:val="24"/>
        <w:sectPr>
          <w:headerReference r:id="rId3" w:type="even"/>
          <w:footerReference r:id="rId4" w:type="even"/>
          <w:pgSz w:w="11906" w:h="16838"/>
          <w:pgMar w:top="567" w:right="1134" w:bottom="1134" w:left="1417" w:header="0" w:footer="0" w:gutter="0"/>
          <w:pgNumType w:start="1"/>
          <w:cols w:space="720" w:num="1"/>
          <w:docGrid w:type="lines" w:linePitch="312" w:charSpace="0"/>
        </w:sectPr>
      </w:pPr>
    </w:p>
    <w:p>
      <w:pPr>
        <w:pStyle w:val="24"/>
        <w:ind w:left="0" w:leftChars="0" w:firstLine="0" w:firstLineChars="0"/>
        <w:sectPr>
          <w:pgSz w:w="11906" w:h="16838"/>
          <w:pgMar w:top="567" w:right="1134" w:bottom="1134" w:left="1417" w:header="0" w:footer="0" w:gutter="0"/>
          <w:pgNumType w:start="1"/>
          <w:cols w:space="720" w:num="1"/>
          <w:docGrid w:type="lines" w:linePitch="312" w:charSpace="0"/>
        </w:sectPr>
      </w:pPr>
    </w:p>
    <w:p>
      <w:pPr>
        <w:pStyle w:val="20"/>
        <w:spacing w:before="78" w:after="78"/>
        <w:jc w:val="center"/>
        <w:rPr>
          <w:rFonts w:hint="eastAsia" w:ascii="宋体" w:hAnsi="宋体" w:eastAsia="宋体" w:cs="宋体"/>
          <w:b/>
          <w:bCs/>
          <w:sz w:val="32"/>
          <w:szCs w:val="32"/>
        </w:rPr>
      </w:pPr>
      <w:bookmarkStart w:id="14" w:name="_Toc403140926"/>
      <w:bookmarkStart w:id="15" w:name="_Toc403379583"/>
      <w:bookmarkStart w:id="16" w:name="_Toc17973568"/>
      <w:bookmarkStart w:id="17" w:name="_Toc403137542"/>
      <w:r>
        <w:rPr>
          <w:rFonts w:hint="eastAsia" w:ascii="宋体" w:hAnsi="宋体" w:eastAsia="宋体" w:cs="宋体"/>
          <w:b/>
          <w:bCs/>
          <w:sz w:val="32"/>
          <w:szCs w:val="32"/>
        </w:rPr>
        <w:t>目  次</w:t>
      </w:r>
    </w:p>
    <w:p>
      <w:pPr>
        <w:rPr>
          <w:rFonts w:hint="eastAsia"/>
        </w:rPr>
      </w:pPr>
    </w:p>
    <w:p>
      <w:pPr>
        <w:rPr>
          <w:rFonts w:hint="eastAsia"/>
        </w:rPr>
      </w:pPr>
    </w:p>
    <w:p>
      <w:pPr>
        <w:pStyle w:val="20"/>
        <w:spacing w:before="78" w:after="78"/>
        <w:rPr>
          <w:rFonts w:asciiTheme="minorHAnsi" w:hAnsiTheme="minorHAnsi" w:eastAsiaTheme="minorEastAsia" w:cstheme="minorBidi"/>
          <w:szCs w:val="22"/>
        </w:rPr>
      </w:pPr>
      <w:r>
        <w:fldChar w:fldCharType="begin"/>
      </w:r>
      <w:r>
        <w:instrText xml:space="preserve"> </w:instrText>
      </w:r>
      <w:r>
        <w:rPr>
          <w:rFonts w:hint="eastAsia"/>
        </w:rPr>
        <w:instrText xml:space="preserve">TOC \o "1-2" \h \z \u</w:instrText>
      </w:r>
      <w:r>
        <w:instrText xml:space="preserve"> </w:instrText>
      </w:r>
      <w:r>
        <w:fldChar w:fldCharType="separate"/>
      </w:r>
      <w:r>
        <w:fldChar w:fldCharType="begin"/>
      </w:r>
      <w:r>
        <w:instrText xml:space="preserve"> HYPERLINK \l "_Toc116331311" </w:instrText>
      </w:r>
      <w:r>
        <w:fldChar w:fldCharType="separate"/>
      </w:r>
      <w:r>
        <w:rPr>
          <w:rStyle w:val="40"/>
          <w:rFonts w:hint="eastAsia"/>
        </w:rPr>
        <w:t>前言</w:t>
      </w:r>
      <w:r>
        <w:tab/>
      </w:r>
      <w:r>
        <w:fldChar w:fldCharType="begin"/>
      </w:r>
      <w:r>
        <w:instrText xml:space="preserve"> PAGEREF _Toc116331311 \h </w:instrText>
      </w:r>
      <w:r>
        <w:fldChar w:fldCharType="separate"/>
      </w:r>
      <w:r>
        <w:t>II</w:t>
      </w:r>
      <w:r>
        <w:fldChar w:fldCharType="end"/>
      </w:r>
      <w:r>
        <w:fldChar w:fldCharType="end"/>
      </w:r>
    </w:p>
    <w:p>
      <w:pPr>
        <w:pStyle w:val="20"/>
        <w:spacing w:before="78" w:after="78"/>
        <w:rPr>
          <w:rFonts w:asciiTheme="minorHAnsi" w:hAnsiTheme="minorHAnsi" w:eastAsiaTheme="minorEastAsia" w:cstheme="minorBidi"/>
          <w:szCs w:val="22"/>
        </w:rPr>
      </w:pPr>
      <w:r>
        <w:fldChar w:fldCharType="begin"/>
      </w:r>
      <w:r>
        <w:instrText xml:space="preserve"> HYPERLINK \l "_Toc116331312" </w:instrText>
      </w:r>
      <w:r>
        <w:fldChar w:fldCharType="separate"/>
      </w:r>
      <w:r>
        <w:rPr>
          <w:rStyle w:val="40"/>
          <w:rFonts w:hint="eastAsia"/>
        </w:rPr>
        <w:t>攀枝花农产品安全地方标准</w:t>
      </w:r>
      <w:r>
        <w:rPr>
          <w:rStyle w:val="40"/>
        </w:rPr>
        <w:t xml:space="preserve">    </w:t>
      </w:r>
      <w:r>
        <w:rPr>
          <w:rStyle w:val="40"/>
          <w:rFonts w:hint="eastAsia"/>
        </w:rPr>
        <w:t>枇杷</w:t>
      </w:r>
      <w:r>
        <w:tab/>
      </w:r>
      <w:r>
        <w:fldChar w:fldCharType="begin"/>
      </w:r>
      <w:r>
        <w:instrText xml:space="preserve"> PAGEREF _Toc116331312 \h </w:instrText>
      </w:r>
      <w:r>
        <w:fldChar w:fldCharType="separate"/>
      </w:r>
      <w:r>
        <w:t>1</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"_Toc116331313" </w:instrText>
      </w:r>
      <w:r>
        <w:fldChar w:fldCharType="separate"/>
      </w:r>
      <w:r>
        <w:rPr>
          <w:rStyle w:val="40"/>
        </w:rPr>
        <w:t xml:space="preserve">1 </w:t>
      </w:r>
      <w:r>
        <w:rPr>
          <w:rStyle w:val="40"/>
          <w:rFonts w:hint="eastAsia"/>
        </w:rPr>
        <w:t>范围</w:t>
      </w:r>
      <w:r>
        <w:tab/>
      </w:r>
      <w:r>
        <w:fldChar w:fldCharType="begin"/>
      </w:r>
      <w:r>
        <w:instrText xml:space="preserve"> PAGEREF _Toc116331313 \h </w:instrText>
      </w:r>
      <w:r>
        <w:fldChar w:fldCharType="separate"/>
      </w:r>
      <w:r>
        <w:t>1</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"_Toc116331314" </w:instrText>
      </w:r>
      <w:r>
        <w:fldChar w:fldCharType="separate"/>
      </w:r>
      <w:r>
        <w:rPr>
          <w:rStyle w:val="40"/>
        </w:rPr>
        <w:t xml:space="preserve">2 </w:t>
      </w:r>
      <w:r>
        <w:rPr>
          <w:rStyle w:val="40"/>
          <w:rFonts w:hint="eastAsia"/>
        </w:rPr>
        <w:t>规范性引用文件</w:t>
      </w:r>
      <w:r>
        <w:tab/>
      </w:r>
      <w:r>
        <w:fldChar w:fldCharType="begin"/>
      </w:r>
      <w:r>
        <w:instrText xml:space="preserve"> PAGEREF _Toc116331314 \h </w:instrText>
      </w:r>
      <w:r>
        <w:fldChar w:fldCharType="separate"/>
      </w:r>
      <w:r>
        <w:t>1</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"_Toc116331315" </w:instrText>
      </w:r>
      <w:r>
        <w:fldChar w:fldCharType="separate"/>
      </w:r>
      <w:r>
        <w:rPr>
          <w:rStyle w:val="40"/>
        </w:rPr>
        <w:t xml:space="preserve">3 </w:t>
      </w:r>
      <w:r>
        <w:rPr>
          <w:rStyle w:val="40"/>
          <w:rFonts w:hint="eastAsia"/>
        </w:rPr>
        <w:t>术语和定义</w:t>
      </w:r>
      <w:r>
        <w:tab/>
      </w:r>
      <w:r>
        <w:fldChar w:fldCharType="begin"/>
      </w:r>
      <w:r>
        <w:instrText xml:space="preserve"> PAGEREF _Toc116331315 \h </w:instrText>
      </w:r>
      <w:r>
        <w:fldChar w:fldCharType="separate"/>
      </w:r>
      <w:r>
        <w:t>3</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"_Toc116331316" </w:instrText>
      </w:r>
      <w:r>
        <w:fldChar w:fldCharType="separate"/>
      </w:r>
      <w:r>
        <w:rPr>
          <w:rStyle w:val="40"/>
        </w:rPr>
        <w:t xml:space="preserve">4 </w:t>
      </w:r>
      <w:r>
        <w:rPr>
          <w:rStyle w:val="40"/>
          <w:rFonts w:hint="eastAsia"/>
        </w:rPr>
        <w:t>指标要求</w:t>
      </w:r>
      <w:r>
        <w:tab/>
      </w:r>
      <w:r>
        <w:fldChar w:fldCharType="begin"/>
      </w:r>
      <w:r>
        <w:instrText xml:space="preserve"> PAGEREF _Toc116331316 \h </w:instrText>
      </w:r>
      <w:r>
        <w:fldChar w:fldCharType="separate"/>
      </w:r>
      <w:r>
        <w:t>4</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"_Toc116331317" </w:instrText>
      </w:r>
      <w:r>
        <w:fldChar w:fldCharType="separate"/>
      </w:r>
      <w:r>
        <w:rPr>
          <w:rStyle w:val="40"/>
        </w:rPr>
        <w:t xml:space="preserve">5 </w:t>
      </w:r>
      <w:r>
        <w:rPr>
          <w:rStyle w:val="40"/>
          <w:rFonts w:hint="eastAsia"/>
        </w:rPr>
        <w:t>测定部位</w:t>
      </w:r>
      <w:r>
        <w:tab/>
      </w:r>
      <w:r>
        <w:fldChar w:fldCharType="begin"/>
      </w:r>
      <w:r>
        <w:instrText xml:space="preserve"> PAGEREF _Toc116331317 \h </w:instrText>
      </w:r>
      <w:r>
        <w:fldChar w:fldCharType="separate"/>
      </w:r>
      <w:r>
        <w:t>4</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"_Toc116331318" </w:instrText>
      </w:r>
      <w:r>
        <w:fldChar w:fldCharType="separate"/>
      </w:r>
      <w:r>
        <w:rPr>
          <w:rStyle w:val="40"/>
          <w:rFonts w:hint="eastAsia" w:hAnsi="宋体" w:cs="宋体"/>
          <w:kern w:val="0"/>
        </w:rPr>
        <w:t>附录</w:t>
      </w:r>
      <w:r>
        <w:rPr>
          <w:rStyle w:val="40"/>
          <w:rFonts w:hAnsi="宋体" w:cs="宋体"/>
          <w:kern w:val="0"/>
        </w:rPr>
        <w:t xml:space="preserve">A </w:t>
      </w:r>
      <w:r>
        <w:rPr>
          <w:rStyle w:val="40"/>
          <w:rFonts w:hint="eastAsia" w:hAnsi="宋体" w:cs="宋体"/>
          <w:kern w:val="0"/>
        </w:rPr>
        <w:t>枇杷中污染物限量指标要求及检测方法</w:t>
      </w:r>
      <w:r>
        <w:tab/>
      </w:r>
      <w:r>
        <w:fldChar w:fldCharType="begin"/>
      </w:r>
      <w:r>
        <w:instrText xml:space="preserve"> PAGEREF _Toc116331318 \h </w:instrText>
      </w:r>
      <w:r>
        <w:fldChar w:fldCharType="separate"/>
      </w:r>
      <w:r>
        <w:t>5</w:t>
      </w:r>
      <w:r>
        <w:fldChar w:fldCharType="end"/>
      </w:r>
      <w:r>
        <w:fldChar w:fldCharType="end"/>
      </w:r>
    </w:p>
    <w:p>
      <w:pPr>
        <w:pStyle w:val="29"/>
        <w:rPr>
          <w:rFonts w:asciiTheme="minorHAnsi" w:hAnsiTheme="minorHAnsi" w:eastAsiaTheme="minorEastAsia" w:cstheme="minorBidi"/>
          <w:szCs w:val="22"/>
        </w:rPr>
      </w:pPr>
      <w:r>
        <w:fldChar w:fldCharType="begin"/>
      </w:r>
      <w:r>
        <w:instrText xml:space="preserve"> HYPERLINK \l "_Toc116331319" </w:instrText>
      </w:r>
      <w:r>
        <w:fldChar w:fldCharType="separate"/>
      </w:r>
      <w:r>
        <w:rPr>
          <w:rStyle w:val="40"/>
          <w:rFonts w:hint="eastAsia" w:hAnsi="宋体" w:cs="宋体"/>
          <w:kern w:val="0"/>
        </w:rPr>
        <w:t>附录</w:t>
      </w:r>
      <w:r>
        <w:rPr>
          <w:rStyle w:val="40"/>
          <w:rFonts w:hAnsi="宋体" w:cs="宋体"/>
          <w:kern w:val="0"/>
        </w:rPr>
        <w:t xml:space="preserve">B </w:t>
      </w:r>
      <w:r>
        <w:rPr>
          <w:rStyle w:val="40"/>
          <w:rFonts w:hint="eastAsia" w:hAnsi="宋体" w:cs="宋体"/>
          <w:kern w:val="0"/>
        </w:rPr>
        <w:t>枇杷中农药最大残留限量指标要求及检测方法</w:t>
      </w:r>
      <w:r>
        <w:tab/>
      </w:r>
      <w:r>
        <w:fldChar w:fldCharType="begin"/>
      </w:r>
      <w:r>
        <w:instrText xml:space="preserve"> PAGEREF _Toc116331319 \h </w:instrText>
      </w:r>
      <w:r>
        <w:fldChar w:fldCharType="separate"/>
      </w:r>
      <w:r>
        <w:t>6</w:t>
      </w:r>
      <w:r>
        <w:fldChar w:fldCharType="end"/>
      </w:r>
      <w:r>
        <w:fldChar w:fldCharType="end"/>
      </w:r>
    </w:p>
    <w:p>
      <w:pPr>
        <w:pStyle w:val="52"/>
        <w:jc w:val="both"/>
      </w:pPr>
      <w:r>
        <w:fldChar w:fldCharType="end"/>
      </w:r>
      <w:bookmarkEnd w:id="14"/>
      <w:bookmarkEnd w:id="15"/>
      <w:bookmarkEnd w:id="16"/>
      <w:bookmarkEnd w:id="17"/>
      <w:bookmarkStart w:id="18" w:name="_Toc116331311"/>
      <w:r>
        <w:rPr>
          <w:rFonts w:hint="eastAsia"/>
        </w:rPr>
        <w:t>前言</w:t>
      </w:r>
      <w:bookmarkEnd w:id="18"/>
    </w:p>
    <w:p>
      <w:pPr>
        <w:pStyle w:val="24"/>
      </w:pPr>
    </w:p>
    <w:p>
      <w:pPr>
        <w:pStyle w:val="24"/>
      </w:pPr>
      <w:r>
        <w:rPr>
          <w:rFonts w:hint="eastAsia"/>
        </w:rPr>
        <w:t>本文件按照GB/T 1.1—2020《标准化工作导则 第1部分:标准化文件的结构和起草规则》的规定起草。</w:t>
      </w:r>
    </w:p>
    <w:p>
      <w:pPr>
        <w:pStyle w:val="24"/>
      </w:pPr>
      <w:r>
        <w:rPr>
          <w:rFonts w:hint="eastAsia"/>
        </w:rPr>
        <w:t xml:space="preserve">本文件由攀枝花市农业农村局提出并归口。 </w:t>
      </w:r>
    </w:p>
    <w:p>
      <w:pPr>
        <w:pStyle w:val="24"/>
      </w:pPr>
      <w:r>
        <w:rPr>
          <w:rFonts w:hint="eastAsia"/>
        </w:rPr>
        <w:t xml:space="preserve">本文件由攀枝花市市场监督管理局批准。 </w:t>
      </w:r>
    </w:p>
    <w:p>
      <w:pPr>
        <w:pStyle w:val="24"/>
      </w:pPr>
      <w:r>
        <w:rPr>
          <w:rFonts w:hint="eastAsia"/>
        </w:rPr>
        <w:t xml:space="preserve">本文件起草单位：攀西无公害农产品监测中心。 </w:t>
      </w:r>
    </w:p>
    <w:p>
      <w:pPr>
        <w:pStyle w:val="24"/>
      </w:pPr>
      <w:r>
        <w:rPr>
          <w:rFonts w:hint="eastAsia"/>
        </w:rPr>
        <w:t>本文件主要起草人：廖海燕、曾刚、黄朝举、</w:t>
      </w:r>
      <w:r>
        <w:rPr>
          <w:rFonts w:hint="eastAsia"/>
          <w:color w:val="000000"/>
          <w:szCs w:val="32"/>
        </w:rPr>
        <w:t>罗琳、韩东</w:t>
      </w:r>
      <w:r>
        <w:rPr>
          <w:rFonts w:hint="eastAsia"/>
        </w:rPr>
        <w:t>、张晋、</w:t>
      </w:r>
      <w:r>
        <w:rPr>
          <w:rFonts w:hint="eastAsia"/>
          <w:color w:val="000000"/>
          <w:szCs w:val="32"/>
        </w:rPr>
        <w:t>何争珍、谭丽、万明莉</w:t>
      </w:r>
      <w:r>
        <w:rPr>
          <w:rFonts w:hint="eastAsia"/>
        </w:rPr>
        <w:t>、张秀英</w:t>
      </w:r>
      <w:r>
        <w:rPr>
          <w:rFonts w:hint="eastAsia"/>
          <w:color w:val="000000"/>
          <w:szCs w:val="32"/>
        </w:rPr>
        <w:t>、</w:t>
      </w:r>
      <w:r>
        <w:rPr>
          <w:rFonts w:hint="eastAsia"/>
        </w:rPr>
        <w:t>杜婷、胡玉波。</w:t>
      </w:r>
    </w:p>
    <w:p>
      <w:pPr>
        <w:pStyle w:val="24"/>
        <w:sectPr>
          <w:headerReference r:id="rId5" w:type="default"/>
          <w:footerReference r:id="rId6" w:type="default"/>
          <w:footerReference r:id="rId7" w:type="even"/>
          <w:pgSz w:w="11906" w:h="16838"/>
          <w:pgMar w:top="567" w:right="1134" w:bottom="1134" w:left="1417" w:header="1418" w:footer="1134" w:gutter="0"/>
          <w:pgNumType w:fmt="upperRoman" w:start="1"/>
          <w:cols w:space="720" w:num="1"/>
          <w:formProt w:val="0"/>
          <w:docGrid w:type="lines" w:linePitch="312" w:charSpace="0"/>
        </w:sectPr>
      </w:pPr>
      <w:r>
        <w:rPr>
          <w:rFonts w:hint="eastAsia"/>
        </w:rPr>
        <w:t>本文件首次发布。</w:t>
      </w:r>
    </w:p>
    <w:p>
      <w:pPr>
        <w:pStyle w:val="52"/>
      </w:pPr>
      <w:bookmarkStart w:id="19" w:name="_Toc116331312"/>
      <w:r>
        <w:rPr>
          <w:rFonts w:hint="eastAsia"/>
        </w:rPr>
        <w:t>攀枝花农产品安全地方标准    枇杷</w:t>
      </w:r>
      <w:bookmarkEnd w:id="19"/>
    </w:p>
    <w:p>
      <w:pPr>
        <w:pStyle w:val="47"/>
        <w:numPr>
          <w:ilvl w:val="255"/>
          <w:numId w:val="0"/>
        </w:numPr>
        <w:spacing w:before="312" w:after="312"/>
      </w:pPr>
      <w:bookmarkStart w:id="20" w:name="_Toc116331313"/>
      <w:r>
        <w:rPr>
          <w:rFonts w:hint="eastAsia"/>
        </w:rPr>
        <w:t>1 范围</w:t>
      </w:r>
      <w:bookmarkEnd w:id="20"/>
    </w:p>
    <w:p>
      <w:r>
        <w:rPr>
          <w:rFonts w:hint="eastAsia"/>
        </w:rPr>
        <w:t xml:space="preserve">    本文件规定了攀枝花枇杷中铅等2种污染物限量和阿维菌素等174种农药最大残留限量指标。</w:t>
      </w:r>
    </w:p>
    <w:p>
      <w:pPr>
        <w:ind w:firstLine="420" w:firstLineChars="200"/>
      </w:pPr>
      <w:r>
        <w:rPr>
          <w:rFonts w:hint="eastAsia" w:ascii="宋体" w:hAnsi="宋体" w:cs="宋体"/>
          <w:color w:val="000000"/>
          <w:kern w:val="0"/>
          <w:szCs w:val="21"/>
        </w:rPr>
        <w:t>本文件适用于攀枝花市种植区域的枇杷鲜果的安全要求。</w:t>
      </w:r>
    </w:p>
    <w:p>
      <w:pPr>
        <w:ind w:firstLine="420" w:firstLineChars="200"/>
      </w:pPr>
      <w:r>
        <w:rPr>
          <w:rFonts w:hint="eastAsia"/>
        </w:rPr>
        <w:t>豁免制定食品中最大残留限量标准的农药名单(参照GB 2763)用于界定不需要制定农药最大残留限量的范围。</w:t>
      </w:r>
    </w:p>
    <w:p>
      <w:pPr>
        <w:pStyle w:val="47"/>
        <w:numPr>
          <w:ilvl w:val="0"/>
          <w:numId w:val="0"/>
        </w:numPr>
        <w:spacing w:before="312" w:after="312"/>
      </w:pPr>
      <w:bookmarkStart w:id="21" w:name="_Toc116331314"/>
      <w:r>
        <w:rPr>
          <w:rFonts w:hint="eastAsia"/>
        </w:rPr>
        <w:t>2 规范性引用文件</w:t>
      </w:r>
      <w:bookmarkEnd w:id="21"/>
      <w:r>
        <w:rPr>
          <w:rFonts w:hint="eastAsia"/>
        </w:rPr>
        <w:t xml:space="preserve"> </w:t>
      </w:r>
    </w:p>
    <w:p>
      <w:pPr>
        <w:ind w:firstLine="420" w:firstLineChars="20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ind w:firstLine="420" w:firstLineChars="200"/>
        <w:rPr>
          <w:color w:val="auto"/>
        </w:rPr>
      </w:pPr>
      <w:r>
        <w:rPr>
          <w:rFonts w:hint="eastAsia"/>
        </w:rPr>
        <w:t>在配套检测方法中选择满足检测要求的方法进行检测。在本文件发布后，新实施的</w:t>
      </w:r>
      <w:r>
        <w:rPr>
          <w:rFonts w:hint="eastAsia"/>
          <w:color w:val="auto"/>
        </w:rPr>
        <w:t>食品安全国家标</w:t>
      </w:r>
    </w:p>
    <w:p>
      <w:r>
        <w:rPr>
          <w:rFonts w:hint="eastAsia"/>
          <w:color w:val="auto"/>
        </w:rPr>
        <w:t>准同样</w:t>
      </w:r>
      <w:r>
        <w:rPr>
          <w:rFonts w:hint="eastAsia"/>
        </w:rPr>
        <w:t>适用于相应参数的检测；行业标准以及部文公告的检测方法，其检出限和定量限能满足限量值要求时，在检测时可采用。</w:t>
      </w:r>
    </w:p>
    <w:p/>
    <w:p>
      <w:pPr>
        <w:widowControl/>
        <w:ind w:firstLine="420" w:firstLineChars="200"/>
        <w:jc w:val="left"/>
        <w:rPr>
          <w:rFonts w:ascii="宋体" w:hAnsi="宋体" w:cs="宋体"/>
          <w:color w:val="000000" w:themeColor="text1"/>
          <w:kern w:val="0"/>
          <w:szCs w:val="21"/>
        </w:rPr>
      </w:pPr>
      <w:r>
        <w:rPr>
          <w:rFonts w:hint="eastAsia" w:ascii="宋体" w:hAnsi="宋体" w:cs="宋体"/>
          <w:color w:val="000000" w:themeColor="text1"/>
          <w:kern w:val="0"/>
          <w:szCs w:val="21"/>
        </w:rPr>
        <w:t>GB 2762 食品安全国家标准 食品中污染物限量</w:t>
      </w:r>
    </w:p>
    <w:p>
      <w:pPr>
        <w:widowControl/>
        <w:ind w:firstLine="420" w:firstLineChars="200"/>
        <w:jc w:val="left"/>
        <w:rPr>
          <w:rFonts w:ascii="宋体" w:hAnsi="宋体" w:cs="宋体"/>
          <w:color w:val="333333"/>
          <w:kern w:val="0"/>
          <w:szCs w:val="21"/>
        </w:rPr>
      </w:pPr>
      <w:r>
        <w:rPr>
          <w:rFonts w:hint="eastAsia" w:ascii="宋体" w:hAnsi="宋体" w:cs="宋体"/>
          <w:color w:val="000000" w:themeColor="text1"/>
          <w:kern w:val="0"/>
          <w:szCs w:val="21"/>
        </w:rPr>
        <w:t>GB 2763 食品安全</w:t>
      </w:r>
      <w:r>
        <w:rPr>
          <w:rFonts w:hint="eastAsia" w:ascii="宋体" w:hAnsi="宋体" w:cs="宋体"/>
          <w:color w:val="333333"/>
          <w:kern w:val="0"/>
          <w:szCs w:val="21"/>
        </w:rPr>
        <w:t>国家标准 食品中农药最大残留限量</w:t>
      </w:r>
    </w:p>
    <w:p>
      <w:pPr>
        <w:widowControl/>
        <w:ind w:firstLine="420" w:firstLineChars="200"/>
        <w:jc w:val="left"/>
        <w:rPr>
          <w:rFonts w:ascii="宋体" w:hAnsi="宋体" w:cs="宋体"/>
          <w:color w:val="333333"/>
          <w:kern w:val="0"/>
          <w:szCs w:val="21"/>
        </w:rPr>
      </w:pPr>
      <w:r>
        <w:rPr>
          <w:rFonts w:hint="eastAsia" w:ascii="宋体" w:hAnsi="宋体" w:cs="宋体"/>
          <w:color w:val="333333"/>
          <w:kern w:val="0"/>
          <w:szCs w:val="21"/>
        </w:rPr>
        <w:t>NY/T 750 绿色食品 热带、亚热带水果</w:t>
      </w:r>
    </w:p>
    <w:p>
      <w:pPr>
        <w:widowControl/>
        <w:ind w:firstLine="420" w:firstLineChars="200"/>
        <w:jc w:val="left"/>
        <w:rPr>
          <w:rFonts w:ascii="宋体" w:hAnsi="宋体" w:cs="宋体"/>
          <w:kern w:val="0"/>
          <w:szCs w:val="21"/>
        </w:rPr>
      </w:pPr>
      <w:r>
        <w:rPr>
          <w:rFonts w:hint="eastAsia" w:ascii="宋体" w:hAnsi="宋体" w:cs="宋体"/>
          <w:kern w:val="0"/>
          <w:szCs w:val="21"/>
        </w:rPr>
        <w:t>GB 5009.12 食品安全国家标准 食品中铅的测定</w:t>
      </w:r>
    </w:p>
    <w:p>
      <w:pPr>
        <w:widowControl/>
        <w:ind w:firstLine="420" w:firstLineChars="200"/>
        <w:jc w:val="left"/>
        <w:rPr>
          <w:rFonts w:ascii="宋体" w:hAnsi="宋体" w:cs="宋体"/>
          <w:kern w:val="0"/>
          <w:szCs w:val="21"/>
        </w:rPr>
      </w:pPr>
      <w:r>
        <w:rPr>
          <w:rFonts w:hint="eastAsia" w:ascii="宋体" w:hAnsi="宋体" w:cs="宋体"/>
          <w:kern w:val="0"/>
          <w:szCs w:val="21"/>
        </w:rPr>
        <w:t>GB 5009.15 食品安全国家标准 食品中镉的测定</w:t>
      </w:r>
    </w:p>
    <w:p>
      <w:pPr>
        <w:widowControl/>
        <w:ind w:firstLine="420" w:firstLineChars="200"/>
        <w:jc w:val="left"/>
        <w:rPr>
          <w:rFonts w:ascii="宋体" w:hAnsi="宋体" w:cs="宋体"/>
          <w:kern w:val="0"/>
          <w:szCs w:val="21"/>
        </w:rPr>
      </w:pPr>
      <w:r>
        <w:rPr>
          <w:rFonts w:hint="eastAsia" w:ascii="宋体" w:hAnsi="宋体" w:cs="宋体"/>
          <w:kern w:val="0"/>
          <w:szCs w:val="21"/>
        </w:rPr>
        <w:t>GB 5009.268 食品安全国家标准 食品中多元素的测定</w:t>
      </w:r>
    </w:p>
    <w:p>
      <w:pPr>
        <w:widowControl/>
        <w:ind w:firstLine="420" w:firstLineChars="200"/>
        <w:jc w:val="left"/>
        <w:rPr>
          <w:rFonts w:ascii="宋体" w:hAnsi="宋体" w:cs="宋体"/>
          <w:kern w:val="0"/>
          <w:szCs w:val="21"/>
        </w:rPr>
      </w:pPr>
      <w:r>
        <w:rPr>
          <w:rFonts w:ascii="宋体" w:hAnsi="宋体" w:cs="宋体"/>
          <w:kern w:val="0"/>
          <w:szCs w:val="21"/>
        </w:rPr>
        <w:t>GB 23200.6</w:t>
      </w:r>
      <w:r>
        <w:rPr>
          <w:rFonts w:hint="eastAsia" w:ascii="宋体" w:hAnsi="宋体" w:cs="宋体"/>
          <w:kern w:val="0"/>
          <w:szCs w:val="21"/>
        </w:rPr>
        <w:t xml:space="preserve"> </w:t>
      </w:r>
      <w:r>
        <w:rPr>
          <w:rFonts w:ascii="宋体" w:hAnsi="宋体" w:cs="宋体"/>
          <w:kern w:val="0"/>
          <w:szCs w:val="21"/>
        </w:rPr>
        <w:t>食品安全国家标准 除草剂残留量检测方法 第6部分：液相色谱-质谱/质谱法测定 食品中杀草强残留量</w:t>
      </w:r>
    </w:p>
    <w:p>
      <w:pPr>
        <w:widowControl/>
        <w:ind w:firstLine="420" w:firstLineChars="200"/>
        <w:jc w:val="left"/>
        <w:rPr>
          <w:rFonts w:ascii="宋体" w:hAnsi="宋体" w:cs="宋体"/>
          <w:kern w:val="0"/>
          <w:szCs w:val="21"/>
        </w:rPr>
      </w:pPr>
      <w:r>
        <w:rPr>
          <w:rFonts w:hint="eastAsia" w:ascii="宋体" w:hAnsi="宋体" w:cs="宋体"/>
          <w:kern w:val="0"/>
          <w:szCs w:val="21"/>
        </w:rPr>
        <w:t>GB 23200.8 食品安全国家标准 水果和蔬菜中500种农药及相关化学品残留量的测定 气相色谱-质谱法</w:t>
      </w:r>
    </w:p>
    <w:p>
      <w:pPr>
        <w:widowControl/>
        <w:ind w:firstLine="420" w:firstLineChars="200"/>
        <w:jc w:val="left"/>
        <w:rPr>
          <w:rFonts w:ascii="宋体" w:hAnsi="宋体" w:cs="宋体"/>
          <w:kern w:val="0"/>
          <w:szCs w:val="21"/>
        </w:rPr>
      </w:pPr>
      <w:r>
        <w:rPr>
          <w:rFonts w:hint="eastAsia" w:ascii="宋体" w:hAnsi="宋体" w:cs="宋体"/>
          <w:kern w:val="0"/>
          <w:szCs w:val="21"/>
        </w:rPr>
        <w:t>GB 23200.13 食品安全国家标准 茶叶中448种农药及相关化学品残留量的测定 液相色谱-质谱法</w:t>
      </w:r>
    </w:p>
    <w:p>
      <w:pPr>
        <w:widowControl/>
        <w:ind w:firstLine="420" w:firstLineChars="200"/>
        <w:jc w:val="left"/>
        <w:rPr>
          <w:rFonts w:ascii="宋体" w:hAnsi="宋体" w:cs="宋体"/>
          <w:kern w:val="0"/>
          <w:szCs w:val="21"/>
        </w:rPr>
      </w:pPr>
      <w:r>
        <w:rPr>
          <w:rFonts w:hint="eastAsia" w:ascii="宋体" w:hAnsi="宋体" w:cs="宋体"/>
          <w:kern w:val="0"/>
          <w:szCs w:val="21"/>
        </w:rPr>
        <w:t>GB 23200.29 食品安全国家标准 水果和蔬菜中唑螨酯残留量的测定 液相色谱法</w:t>
      </w:r>
    </w:p>
    <w:p>
      <w:pPr>
        <w:widowControl/>
        <w:ind w:firstLine="420" w:firstLineChars="200"/>
        <w:jc w:val="left"/>
        <w:rPr>
          <w:rFonts w:ascii="宋体" w:hAnsi="宋体" w:cs="宋体"/>
          <w:kern w:val="0"/>
          <w:szCs w:val="21"/>
        </w:rPr>
      </w:pPr>
      <w:r>
        <w:rPr>
          <w:rFonts w:hint="eastAsia" w:ascii="宋体" w:hAnsi="宋体" w:cs="宋体"/>
          <w:kern w:val="0"/>
          <w:szCs w:val="21"/>
        </w:rPr>
        <w:t>GB 23200.31 食品安全国家标准 食品中丙炔氟草胺残留量的测定 气相色谱-质谱法</w:t>
      </w:r>
    </w:p>
    <w:p>
      <w:pPr>
        <w:widowControl/>
        <w:ind w:firstLine="420" w:firstLineChars="200"/>
        <w:jc w:val="left"/>
        <w:rPr>
          <w:rFonts w:ascii="宋体" w:hAnsi="宋体" w:cs="宋体"/>
          <w:kern w:val="0"/>
          <w:szCs w:val="21"/>
        </w:rPr>
      </w:pPr>
      <w:r>
        <w:rPr>
          <w:rFonts w:hint="eastAsia" w:ascii="宋体" w:hAnsi="宋体" w:cs="宋体"/>
          <w:kern w:val="0"/>
          <w:szCs w:val="21"/>
        </w:rPr>
        <w:t>GB 23200.39 食品安全国家标准 食品中噻虫嗪及其代谢物噻虫胺残留量的测定 液相色谱-质谱/质谱法</w:t>
      </w:r>
    </w:p>
    <w:p>
      <w:pPr>
        <w:widowControl/>
        <w:ind w:firstLine="420" w:firstLineChars="200"/>
        <w:jc w:val="left"/>
        <w:rPr>
          <w:rFonts w:ascii="宋体" w:hAnsi="宋体" w:cs="宋体"/>
          <w:kern w:val="0"/>
          <w:szCs w:val="21"/>
        </w:rPr>
      </w:pPr>
      <w:r>
        <w:rPr>
          <w:rFonts w:hint="eastAsia" w:ascii="宋体" w:hAnsi="宋体" w:cs="宋体"/>
          <w:kern w:val="0"/>
          <w:szCs w:val="21"/>
        </w:rPr>
        <w:t>GB 23200.45 食品安全国家标准 食品中除虫脲残留量的测定 液相色谱-质谱法</w:t>
      </w:r>
    </w:p>
    <w:p>
      <w:pPr>
        <w:widowControl/>
        <w:ind w:firstLine="420" w:firstLineChars="200"/>
        <w:jc w:val="left"/>
        <w:rPr>
          <w:rFonts w:ascii="宋体" w:hAnsi="宋体" w:cs="宋体"/>
          <w:kern w:val="0"/>
          <w:szCs w:val="21"/>
        </w:rPr>
      </w:pPr>
      <w:r>
        <w:rPr>
          <w:rFonts w:hint="eastAsia" w:ascii="宋体" w:hAnsi="宋体" w:cs="宋体"/>
          <w:kern w:val="0"/>
          <w:szCs w:val="21"/>
        </w:rPr>
        <w:t>GB 23200.46 食品安全国家标准 食品中嘧霉胺、嘧菌胺、腈菌唑、嘧菌酯残留量的测定 气相色谱-质谱法</w:t>
      </w:r>
    </w:p>
    <w:p>
      <w:pPr>
        <w:widowControl/>
        <w:ind w:firstLine="420" w:firstLineChars="200"/>
        <w:jc w:val="left"/>
        <w:rPr>
          <w:rFonts w:ascii="宋体" w:hAnsi="宋体" w:cs="宋体"/>
          <w:kern w:val="0"/>
          <w:szCs w:val="21"/>
        </w:rPr>
      </w:pPr>
      <w:r>
        <w:rPr>
          <w:rFonts w:hint="eastAsia" w:ascii="宋体" w:hAnsi="宋体" w:cs="宋体"/>
          <w:kern w:val="0"/>
          <w:szCs w:val="21"/>
        </w:rPr>
        <w:t>GB 23200.47 食品安全国家标准 食品中四螨嗪残留量的测定 气相色谱-质谱法</w:t>
      </w:r>
    </w:p>
    <w:p>
      <w:pPr>
        <w:widowControl/>
        <w:ind w:firstLine="420" w:firstLineChars="200"/>
        <w:jc w:val="left"/>
        <w:rPr>
          <w:rFonts w:ascii="宋体" w:hAnsi="宋体" w:cs="宋体"/>
          <w:kern w:val="0"/>
          <w:szCs w:val="21"/>
        </w:rPr>
      </w:pPr>
      <w:r>
        <w:rPr>
          <w:rFonts w:hint="eastAsia" w:ascii="宋体" w:hAnsi="宋体" w:cs="宋体"/>
          <w:kern w:val="0"/>
          <w:szCs w:val="21"/>
        </w:rPr>
        <w:t>GB 23200.49 食品安全国家标准 食品中苯醚甲环唑残留量的测定 气相色谱-质谱法</w:t>
      </w:r>
    </w:p>
    <w:p>
      <w:pPr>
        <w:widowControl/>
        <w:ind w:firstLine="420" w:firstLineChars="200"/>
        <w:jc w:val="left"/>
        <w:rPr>
          <w:rFonts w:ascii="宋体" w:hAnsi="宋体" w:cs="宋体"/>
          <w:kern w:val="0"/>
          <w:szCs w:val="21"/>
        </w:rPr>
      </w:pPr>
      <w:r>
        <w:rPr>
          <w:rFonts w:hint="eastAsia" w:ascii="宋体" w:hAnsi="宋体" w:cs="宋体"/>
          <w:kern w:val="0"/>
          <w:szCs w:val="21"/>
        </w:rPr>
        <w:t>GB 23200.50 食品安全国家标准 食品中吡啶类农药残留量的测定 液相色谱-质谱/质谱法</w:t>
      </w:r>
    </w:p>
    <w:p>
      <w:pPr>
        <w:widowControl/>
        <w:ind w:firstLine="420" w:firstLineChars="200"/>
        <w:jc w:val="left"/>
        <w:rPr>
          <w:rFonts w:ascii="宋体" w:hAnsi="宋体" w:cs="宋体"/>
          <w:kern w:val="0"/>
          <w:szCs w:val="21"/>
        </w:rPr>
      </w:pPr>
      <w:r>
        <w:rPr>
          <w:rFonts w:hint="eastAsia" w:ascii="宋体" w:hAnsi="宋体" w:cs="宋体"/>
          <w:kern w:val="0"/>
          <w:szCs w:val="21"/>
        </w:rPr>
        <w:t>GB 23200.53 食品安全国家标准 食品中氟硅唑残留量的测定 气相色谱-质谱法</w:t>
      </w:r>
    </w:p>
    <w:p>
      <w:pPr>
        <w:widowControl/>
        <w:ind w:firstLine="420" w:firstLineChars="200"/>
        <w:jc w:val="left"/>
        <w:rPr>
          <w:rFonts w:ascii="宋体" w:hAnsi="宋体" w:cs="宋体"/>
          <w:kern w:val="0"/>
          <w:szCs w:val="21"/>
        </w:rPr>
      </w:pPr>
      <w:r>
        <w:rPr>
          <w:rFonts w:hint="eastAsia" w:ascii="宋体" w:hAnsi="宋体" w:cs="宋体"/>
          <w:kern w:val="0"/>
          <w:szCs w:val="21"/>
        </w:rPr>
        <w:t>GB 23200.54 食品安全国家标准 食品中甲氧基丙烯酸酯类杀菌剂残留量的测定 气相色谱-质谱法</w:t>
      </w:r>
    </w:p>
    <w:p>
      <w:pPr>
        <w:widowControl/>
        <w:ind w:firstLine="420" w:firstLineChars="200"/>
        <w:jc w:val="left"/>
        <w:rPr>
          <w:rFonts w:ascii="宋体" w:hAnsi="宋体" w:cs="宋体"/>
          <w:kern w:val="0"/>
          <w:szCs w:val="21"/>
        </w:rPr>
      </w:pPr>
      <w:r>
        <w:rPr>
          <w:rFonts w:hint="eastAsia" w:ascii="宋体" w:hAnsi="宋体" w:cs="宋体"/>
          <w:kern w:val="0"/>
          <w:szCs w:val="21"/>
        </w:rPr>
        <w:t>GB 23200.75 食品安全国家标准 食品中氟啶虫酰胺残留量的检测方法</w:t>
      </w:r>
    </w:p>
    <w:p>
      <w:pPr>
        <w:widowControl/>
        <w:ind w:firstLine="420" w:firstLineChars="200"/>
        <w:jc w:val="left"/>
        <w:rPr>
          <w:rFonts w:ascii="宋体" w:hAnsi="宋体" w:cs="宋体"/>
          <w:kern w:val="0"/>
          <w:szCs w:val="21"/>
        </w:rPr>
      </w:pPr>
      <w:r>
        <w:rPr>
          <w:rFonts w:hint="eastAsia" w:ascii="宋体" w:hAnsi="宋体" w:cs="宋体"/>
          <w:kern w:val="0"/>
          <w:szCs w:val="21"/>
        </w:rPr>
        <w:t>GB 23200.76 食品安全国家标准 食品中氟苯虫酰胺残留量的测定 液相色谱-质谱/质谱法</w:t>
      </w:r>
    </w:p>
    <w:p>
      <w:pPr>
        <w:widowControl/>
        <w:ind w:firstLine="420" w:firstLineChars="200"/>
        <w:jc w:val="left"/>
        <w:rPr>
          <w:rFonts w:ascii="宋体" w:hAnsi="宋体" w:cs="宋体"/>
          <w:kern w:val="0"/>
          <w:szCs w:val="21"/>
        </w:rPr>
      </w:pPr>
      <w:r>
        <w:rPr>
          <w:rFonts w:hint="eastAsia" w:ascii="宋体" w:hAnsi="宋体" w:cs="宋体"/>
          <w:kern w:val="0"/>
          <w:szCs w:val="21"/>
        </w:rPr>
        <w:t>GB 23200.108 食品安全国家标准 植物源性食品中草铵膦残留量的测定 液相色谱-质谱联用法</w:t>
      </w:r>
    </w:p>
    <w:p>
      <w:pPr>
        <w:widowControl/>
        <w:ind w:firstLine="420" w:firstLineChars="200"/>
        <w:jc w:val="left"/>
        <w:rPr>
          <w:rFonts w:ascii="宋体" w:hAnsi="宋体" w:cs="宋体"/>
          <w:kern w:val="0"/>
          <w:szCs w:val="21"/>
        </w:rPr>
      </w:pPr>
      <w:r>
        <w:rPr>
          <w:rFonts w:hint="eastAsia" w:ascii="宋体" w:hAnsi="宋体" w:cs="宋体"/>
          <w:kern w:val="0"/>
          <w:szCs w:val="21"/>
        </w:rPr>
        <w:t>GB 23200.112 食品安全国家标准 植物源性食品中9种氨基甲酸酯类农药及其代谢物残留量的测定 液相色谱-柱后衍生法</w:t>
      </w:r>
    </w:p>
    <w:p>
      <w:pPr>
        <w:widowControl/>
        <w:ind w:firstLine="420" w:firstLineChars="200"/>
        <w:jc w:val="left"/>
        <w:rPr>
          <w:rFonts w:ascii="宋体" w:hAnsi="宋体" w:cs="宋体"/>
          <w:kern w:val="0"/>
          <w:szCs w:val="21"/>
        </w:rPr>
      </w:pPr>
      <w:r>
        <w:rPr>
          <w:rFonts w:hint="eastAsia" w:ascii="宋体" w:hAnsi="宋体" w:cs="宋体"/>
          <w:kern w:val="0"/>
          <w:szCs w:val="21"/>
        </w:rPr>
        <w:t>GB 23200.113 食品安全国家标准 植物源性食品中208种农药及其代谢物残留量的测定 气相色谱-质谱联用法</w:t>
      </w:r>
    </w:p>
    <w:p>
      <w:pPr>
        <w:widowControl/>
        <w:ind w:firstLine="420" w:firstLineChars="200"/>
        <w:jc w:val="left"/>
        <w:rPr>
          <w:rFonts w:ascii="宋体" w:hAnsi="宋体" w:cs="宋体"/>
          <w:kern w:val="0"/>
          <w:szCs w:val="21"/>
        </w:rPr>
      </w:pPr>
      <w:r>
        <w:rPr>
          <w:rFonts w:hint="eastAsia" w:ascii="宋体" w:hAnsi="宋体" w:cs="宋体"/>
          <w:kern w:val="0"/>
          <w:szCs w:val="21"/>
        </w:rPr>
        <w:t>GB 23200.116 食品安全国家标准 植物源性食品中90种有机磷类农药及其代谢物残留量的测定 气相色谱法</w:t>
      </w:r>
    </w:p>
    <w:p>
      <w:pPr>
        <w:widowControl/>
        <w:ind w:firstLine="420" w:firstLineChars="200"/>
        <w:jc w:val="left"/>
        <w:rPr>
          <w:rFonts w:ascii="宋体" w:hAnsi="宋体" w:cs="宋体"/>
          <w:kern w:val="0"/>
          <w:szCs w:val="21"/>
        </w:rPr>
      </w:pPr>
      <w:r>
        <w:rPr>
          <w:rFonts w:hint="eastAsia" w:ascii="宋体" w:hAnsi="宋体" w:cs="宋体"/>
          <w:kern w:val="0"/>
          <w:szCs w:val="21"/>
        </w:rPr>
        <w:t>GB 23200.121 食品安全国家标准 植物源性食品中331种农药及其代谢物残留量的测定 液相色谱—质谱联用法</w:t>
      </w:r>
    </w:p>
    <w:p>
      <w:pPr>
        <w:widowControl/>
        <w:ind w:firstLine="420" w:firstLineChars="200"/>
        <w:jc w:val="left"/>
        <w:rPr>
          <w:rFonts w:ascii="宋体" w:hAnsi="宋体" w:cs="宋体"/>
          <w:kern w:val="0"/>
          <w:szCs w:val="21"/>
        </w:rPr>
      </w:pPr>
      <w:r>
        <w:rPr>
          <w:rFonts w:hint="eastAsia" w:ascii="宋体" w:hAnsi="宋体" w:cs="宋体"/>
          <w:kern w:val="0"/>
          <w:szCs w:val="21"/>
        </w:rPr>
        <w:t>GB/T 14553 粮食、水果和蔬菜中有机磷农药测定的气相色谱法</w:t>
      </w:r>
    </w:p>
    <w:p>
      <w:pPr>
        <w:widowControl/>
        <w:ind w:firstLine="420" w:firstLineChars="200"/>
        <w:jc w:val="left"/>
        <w:rPr>
          <w:rFonts w:ascii="宋体" w:hAnsi="宋体" w:cs="宋体"/>
          <w:kern w:val="0"/>
          <w:szCs w:val="21"/>
        </w:rPr>
      </w:pPr>
      <w:r>
        <w:rPr>
          <w:rFonts w:hint="eastAsia" w:ascii="宋体" w:hAnsi="宋体" w:cs="宋体"/>
          <w:kern w:val="0"/>
          <w:szCs w:val="21"/>
        </w:rPr>
        <w:t>GB/T 20769 水果和蔬菜中450种农药及相关化学品残留量的测定 液相色谱-串联质谱法</w:t>
      </w:r>
    </w:p>
    <w:p>
      <w:pPr>
        <w:widowControl/>
        <w:ind w:firstLine="420" w:firstLineChars="200"/>
        <w:jc w:val="left"/>
        <w:rPr>
          <w:rFonts w:ascii="宋体" w:hAnsi="宋体" w:cs="宋体"/>
          <w:kern w:val="0"/>
          <w:szCs w:val="21"/>
        </w:rPr>
      </w:pPr>
      <w:r>
        <w:rPr>
          <w:rFonts w:hint="eastAsia" w:ascii="宋体" w:hAnsi="宋体" w:cs="宋体"/>
          <w:kern w:val="0"/>
          <w:szCs w:val="21"/>
        </w:rPr>
        <w:t>GB/T 23379 水果、蔬菜及茶叶中吡虫啉残留的测定 高效液相色谱法</w:t>
      </w:r>
    </w:p>
    <w:p>
      <w:pPr>
        <w:widowControl/>
        <w:ind w:firstLine="420" w:firstLineChars="200"/>
        <w:jc w:val="left"/>
        <w:rPr>
          <w:rFonts w:ascii="宋体" w:hAnsi="宋体" w:cs="宋体"/>
          <w:kern w:val="0"/>
          <w:szCs w:val="21"/>
        </w:rPr>
      </w:pPr>
      <w:r>
        <w:rPr>
          <w:rFonts w:hint="eastAsia" w:ascii="宋体" w:hAnsi="宋体" w:cs="宋体"/>
          <w:kern w:val="0"/>
          <w:szCs w:val="21"/>
        </w:rPr>
        <w:t>GB/T 23584 水果、蔬菜中啶虫脒残留量的测定 液相色谱-串联质谱法</w:t>
      </w:r>
    </w:p>
    <w:p>
      <w:pPr>
        <w:widowControl/>
        <w:ind w:firstLine="420" w:firstLineChars="200"/>
        <w:jc w:val="left"/>
        <w:rPr>
          <w:rFonts w:ascii="宋体" w:hAnsi="宋体" w:cs="宋体"/>
          <w:kern w:val="0"/>
          <w:szCs w:val="21"/>
        </w:rPr>
      </w:pPr>
      <w:r>
        <w:rPr>
          <w:rFonts w:hint="eastAsia" w:ascii="宋体" w:hAnsi="宋体" w:cs="宋体"/>
          <w:kern w:val="0"/>
          <w:szCs w:val="21"/>
        </w:rPr>
        <w:t>GB/T 23750 植物性产品中草甘膦残留量的测定 气相色谱-质谱法</w:t>
      </w:r>
    </w:p>
    <w:p>
      <w:pPr>
        <w:widowControl/>
        <w:ind w:firstLine="420" w:firstLineChars="200"/>
        <w:jc w:val="left"/>
        <w:rPr>
          <w:rFonts w:ascii="宋体" w:hAnsi="宋体" w:cs="宋体"/>
          <w:kern w:val="0"/>
          <w:szCs w:val="21"/>
        </w:rPr>
      </w:pPr>
      <w:r>
        <w:rPr>
          <w:rFonts w:hint="eastAsia" w:ascii="宋体" w:hAnsi="宋体" w:cs="宋体"/>
          <w:kern w:val="0"/>
          <w:szCs w:val="21"/>
        </w:rPr>
        <w:t>GB/T 5009.19 食品中有机氯农药多组分残留量的测定</w:t>
      </w:r>
    </w:p>
    <w:p>
      <w:pPr>
        <w:widowControl/>
        <w:ind w:firstLine="420" w:firstLineChars="200"/>
        <w:jc w:val="left"/>
        <w:rPr>
          <w:rFonts w:ascii="宋体" w:hAnsi="宋体" w:cs="宋体"/>
          <w:kern w:val="0"/>
          <w:szCs w:val="21"/>
        </w:rPr>
      </w:pPr>
      <w:r>
        <w:rPr>
          <w:rFonts w:hint="eastAsia" w:ascii="宋体" w:hAnsi="宋体" w:cs="宋体"/>
          <w:kern w:val="0"/>
          <w:szCs w:val="21"/>
        </w:rPr>
        <w:t>GB/T 5009.20 食品中有机磷农药残留量的测定</w:t>
      </w:r>
    </w:p>
    <w:p>
      <w:pPr>
        <w:widowControl/>
        <w:ind w:firstLine="420" w:firstLineChars="200"/>
        <w:jc w:val="left"/>
        <w:rPr>
          <w:rFonts w:ascii="宋体" w:hAnsi="宋体" w:cs="宋体"/>
          <w:kern w:val="0"/>
          <w:szCs w:val="21"/>
        </w:rPr>
      </w:pPr>
      <w:r>
        <w:rPr>
          <w:rFonts w:hint="eastAsia" w:ascii="宋体" w:hAnsi="宋体" w:cs="宋体"/>
          <w:kern w:val="0"/>
          <w:szCs w:val="21"/>
        </w:rPr>
        <w:t>GB/T 5009.102 植物性食品中辛硫磷农药残留量的测定</w:t>
      </w:r>
    </w:p>
    <w:p>
      <w:pPr>
        <w:widowControl/>
        <w:ind w:firstLine="420" w:firstLineChars="200"/>
        <w:jc w:val="left"/>
        <w:rPr>
          <w:rFonts w:ascii="宋体" w:hAnsi="宋体" w:cs="宋体"/>
          <w:kern w:val="0"/>
          <w:szCs w:val="21"/>
        </w:rPr>
      </w:pPr>
      <w:r>
        <w:rPr>
          <w:rFonts w:hint="eastAsia" w:ascii="宋体" w:hAnsi="宋体" w:cs="宋体"/>
          <w:kern w:val="0"/>
          <w:szCs w:val="21"/>
        </w:rPr>
        <w:t>GB/T 5009.107 植物性食品中二嗪磷残留量的测定</w:t>
      </w:r>
    </w:p>
    <w:p>
      <w:pPr>
        <w:widowControl/>
        <w:ind w:firstLine="420" w:firstLineChars="200"/>
        <w:jc w:val="left"/>
        <w:rPr>
          <w:rFonts w:ascii="宋体" w:hAnsi="宋体" w:cs="宋体"/>
          <w:kern w:val="0"/>
          <w:szCs w:val="21"/>
        </w:rPr>
      </w:pPr>
      <w:r>
        <w:rPr>
          <w:rFonts w:ascii="宋体" w:hAnsi="宋体" w:cs="宋体"/>
          <w:kern w:val="0"/>
          <w:szCs w:val="21"/>
        </w:rPr>
        <w:t>GB/T 5009.142植物性食品中吡氟禾草灵、精吡氟禾草灵残留量的测定</w:t>
      </w:r>
    </w:p>
    <w:p>
      <w:pPr>
        <w:widowControl/>
        <w:ind w:firstLine="420" w:firstLineChars="200"/>
        <w:jc w:val="left"/>
        <w:rPr>
          <w:rFonts w:ascii="宋体" w:hAnsi="宋体" w:cs="宋体"/>
          <w:kern w:val="0"/>
          <w:szCs w:val="21"/>
        </w:rPr>
      </w:pPr>
      <w:r>
        <w:rPr>
          <w:rFonts w:ascii="宋体" w:hAnsi="宋体" w:cs="宋体"/>
          <w:kern w:val="0"/>
          <w:szCs w:val="21"/>
        </w:rPr>
        <w:t>GB/T 5009.143蔬菜、水果、食用油中双甲脒残留量的测定</w:t>
      </w:r>
    </w:p>
    <w:p>
      <w:pPr>
        <w:widowControl/>
        <w:ind w:firstLine="420" w:firstLineChars="200"/>
        <w:jc w:val="left"/>
        <w:rPr>
          <w:rFonts w:ascii="宋体" w:hAnsi="宋体" w:cs="宋体"/>
          <w:kern w:val="0"/>
          <w:szCs w:val="21"/>
        </w:rPr>
      </w:pPr>
      <w:r>
        <w:rPr>
          <w:rFonts w:ascii="宋体" w:hAnsi="宋体" w:cs="宋体"/>
          <w:kern w:val="0"/>
          <w:szCs w:val="21"/>
        </w:rPr>
        <w:t>GB/T 5009.147植物性食品中除虫脲残留量的测定</w:t>
      </w:r>
    </w:p>
    <w:p>
      <w:pPr>
        <w:widowControl/>
        <w:ind w:firstLine="420" w:firstLineChars="200"/>
        <w:jc w:val="left"/>
        <w:rPr>
          <w:rFonts w:ascii="宋体" w:hAnsi="宋体" w:cs="宋体"/>
          <w:kern w:val="0"/>
          <w:szCs w:val="21"/>
        </w:rPr>
      </w:pPr>
      <w:r>
        <w:rPr>
          <w:rFonts w:ascii="宋体" w:hAnsi="宋体" w:cs="宋体"/>
          <w:kern w:val="0"/>
          <w:szCs w:val="21"/>
        </w:rPr>
        <w:t>GB/T 5009.175粮食和蔬菜中2,4-滴残留量的测定</w:t>
      </w:r>
    </w:p>
    <w:p>
      <w:pPr>
        <w:widowControl/>
        <w:ind w:firstLine="420" w:firstLineChars="200"/>
        <w:jc w:val="left"/>
        <w:rPr>
          <w:rFonts w:ascii="宋体" w:hAnsi="宋体" w:cs="宋体"/>
          <w:kern w:val="0"/>
          <w:szCs w:val="21"/>
        </w:rPr>
      </w:pPr>
      <w:r>
        <w:rPr>
          <w:rFonts w:hint="eastAsia" w:ascii="宋体" w:hAnsi="宋体" w:cs="宋体"/>
          <w:kern w:val="0"/>
          <w:szCs w:val="21"/>
        </w:rPr>
        <w:t>GB/T 5009.218 水果和蔬菜中多种农药残留量的测定</w:t>
      </w:r>
    </w:p>
    <w:p>
      <w:pPr>
        <w:widowControl/>
        <w:ind w:firstLine="420" w:firstLineChars="200"/>
        <w:jc w:val="left"/>
        <w:rPr>
          <w:rFonts w:ascii="宋体" w:hAnsi="宋体" w:cs="宋体"/>
          <w:kern w:val="0"/>
          <w:szCs w:val="21"/>
        </w:rPr>
      </w:pPr>
      <w:r>
        <w:rPr>
          <w:rFonts w:hint="eastAsia" w:ascii="宋体" w:hAnsi="宋体" w:cs="宋体"/>
          <w:kern w:val="0"/>
          <w:szCs w:val="21"/>
        </w:rPr>
        <w:t>SN 0157 出口水果中二硫代氨基甲酸酯残留量检验方法</w:t>
      </w:r>
    </w:p>
    <w:p>
      <w:pPr>
        <w:widowControl/>
        <w:ind w:firstLine="420" w:firstLineChars="200"/>
        <w:jc w:val="left"/>
        <w:rPr>
          <w:rFonts w:ascii="宋体" w:hAnsi="宋体" w:cs="宋体"/>
          <w:kern w:val="0"/>
          <w:szCs w:val="21"/>
        </w:rPr>
      </w:pPr>
      <w:r>
        <w:rPr>
          <w:rFonts w:ascii="宋体" w:hAnsi="宋体" w:cs="宋体"/>
          <w:kern w:val="0"/>
          <w:szCs w:val="21"/>
        </w:rPr>
        <w:t>SN 0523</w:t>
      </w:r>
      <w:r>
        <w:rPr>
          <w:rFonts w:hint="eastAsia" w:ascii="宋体" w:hAnsi="宋体" w:cs="宋体"/>
          <w:kern w:val="0"/>
          <w:szCs w:val="21"/>
        </w:rPr>
        <w:t xml:space="preserve"> 出口水果中乐杀螨残留量检验方法</w:t>
      </w:r>
    </w:p>
    <w:p>
      <w:pPr>
        <w:widowControl/>
        <w:ind w:firstLine="420" w:firstLineChars="200"/>
        <w:jc w:val="left"/>
        <w:rPr>
          <w:rFonts w:ascii="宋体" w:hAnsi="宋体" w:cs="宋体"/>
          <w:kern w:val="0"/>
          <w:szCs w:val="21"/>
        </w:rPr>
      </w:pPr>
      <w:r>
        <w:rPr>
          <w:rFonts w:hint="eastAsia" w:ascii="宋体" w:hAnsi="宋体" w:cs="宋体"/>
          <w:kern w:val="0"/>
          <w:szCs w:val="21"/>
        </w:rPr>
        <w:t>SN 0592 出口粮谷及油籽中苯丁锡残留量检验方法</w:t>
      </w:r>
    </w:p>
    <w:p>
      <w:pPr>
        <w:widowControl/>
        <w:ind w:firstLine="420" w:firstLineChars="200"/>
        <w:jc w:val="left"/>
        <w:rPr>
          <w:rFonts w:ascii="宋体" w:hAnsi="宋体" w:cs="宋体"/>
          <w:kern w:val="0"/>
          <w:szCs w:val="21"/>
        </w:rPr>
      </w:pPr>
      <w:r>
        <w:rPr>
          <w:rFonts w:hint="eastAsia" w:ascii="宋体" w:hAnsi="宋体" w:cs="宋体"/>
          <w:kern w:val="0"/>
          <w:szCs w:val="21"/>
        </w:rPr>
        <w:t>SN/T 0192 出口水果中溴螨酯残留量的检测方法</w:t>
      </w:r>
    </w:p>
    <w:p>
      <w:pPr>
        <w:widowControl/>
        <w:ind w:firstLine="420" w:firstLineChars="200"/>
        <w:jc w:val="left"/>
        <w:rPr>
          <w:rFonts w:ascii="宋体" w:hAnsi="宋体" w:cs="宋体"/>
          <w:kern w:val="0"/>
          <w:szCs w:val="21"/>
        </w:rPr>
      </w:pPr>
      <w:r>
        <w:rPr>
          <w:rFonts w:hint="eastAsia" w:ascii="宋体" w:hAnsi="宋体" w:cs="宋体"/>
          <w:kern w:val="0"/>
          <w:szCs w:val="21"/>
        </w:rPr>
        <w:t>SN/T 0162 出口水果中甲基硫菌灵、硫菌灵、多菌灵、苯菌灵、噻菌灵残留量的检测方法 高效液相色谱法</w:t>
      </w:r>
    </w:p>
    <w:p>
      <w:pPr>
        <w:widowControl/>
        <w:ind w:firstLine="420" w:firstLineChars="200"/>
        <w:jc w:val="left"/>
        <w:rPr>
          <w:rFonts w:ascii="宋体" w:hAnsi="宋体" w:cs="宋体"/>
          <w:kern w:val="0"/>
          <w:szCs w:val="21"/>
        </w:rPr>
      </w:pPr>
      <w:r>
        <w:rPr>
          <w:rFonts w:hint="eastAsia" w:ascii="宋体" w:hAnsi="宋体" w:cs="宋体"/>
          <w:kern w:val="0"/>
          <w:szCs w:val="21"/>
        </w:rPr>
        <w:t>SN/T 0217 出口植物源性食品中多种菊酯残留量的检测方法 气相色谱-质谱法</w:t>
      </w:r>
    </w:p>
    <w:p>
      <w:pPr>
        <w:widowControl/>
        <w:ind w:firstLine="420" w:firstLineChars="200"/>
        <w:jc w:val="left"/>
        <w:rPr>
          <w:rFonts w:ascii="宋体" w:hAnsi="宋体" w:cs="宋体"/>
          <w:kern w:val="0"/>
          <w:szCs w:val="21"/>
        </w:rPr>
      </w:pPr>
      <w:r>
        <w:rPr>
          <w:rFonts w:hint="eastAsia" w:ascii="宋体" w:hAnsi="宋体" w:cs="宋体"/>
          <w:kern w:val="0"/>
          <w:szCs w:val="21"/>
        </w:rPr>
        <w:t>SN/T 0293 出口植物源性食品中百草枯和敌草快残留量的测定 液相色谱-质谱/质谱法</w:t>
      </w:r>
    </w:p>
    <w:p>
      <w:pPr>
        <w:widowControl/>
        <w:ind w:firstLine="420" w:firstLineChars="200"/>
        <w:jc w:val="left"/>
        <w:rPr>
          <w:rFonts w:ascii="宋体" w:hAnsi="宋体" w:cs="宋体"/>
          <w:kern w:val="0"/>
          <w:szCs w:val="21"/>
        </w:rPr>
      </w:pPr>
      <w:r>
        <w:rPr>
          <w:rFonts w:hint="eastAsia" w:ascii="宋体" w:hAnsi="宋体" w:cs="宋体"/>
          <w:kern w:val="0"/>
          <w:szCs w:val="21"/>
        </w:rPr>
        <w:t>SN/T 0654 出口水果中克菌丹残留量的检测 气相色谱法和气相色谱-质谱/质谱法</w:t>
      </w:r>
    </w:p>
    <w:p>
      <w:pPr>
        <w:widowControl/>
        <w:ind w:firstLine="420" w:firstLineChars="200"/>
        <w:jc w:val="left"/>
        <w:rPr>
          <w:rFonts w:ascii="宋体" w:hAnsi="宋体" w:cs="宋体"/>
          <w:kern w:val="0"/>
          <w:szCs w:val="21"/>
        </w:rPr>
      </w:pPr>
      <w:r>
        <w:rPr>
          <w:rFonts w:hint="eastAsia" w:ascii="宋体" w:hAnsi="宋体" w:cs="宋体"/>
          <w:kern w:val="0"/>
          <w:szCs w:val="21"/>
        </w:rPr>
        <w:t>SN/T 1976 进出口水果和蔬菜中嘧菌酯残留量检测方法 气相色谱法</w:t>
      </w:r>
    </w:p>
    <w:p>
      <w:pPr>
        <w:widowControl/>
        <w:ind w:firstLine="420" w:firstLineChars="200"/>
        <w:jc w:val="left"/>
        <w:rPr>
          <w:rFonts w:ascii="宋体" w:hAnsi="宋体" w:cs="宋体"/>
          <w:kern w:val="0"/>
          <w:szCs w:val="21"/>
        </w:rPr>
      </w:pPr>
      <w:r>
        <w:rPr>
          <w:rFonts w:hint="eastAsia" w:ascii="宋体" w:hAnsi="宋体" w:cs="宋体"/>
          <w:color w:val="333333"/>
          <w:kern w:val="0"/>
          <w:szCs w:val="21"/>
        </w:rPr>
        <w:t>SN/T 1986 进出口食品中溴虫腈残留量检测方法</w:t>
      </w:r>
    </w:p>
    <w:p>
      <w:pPr>
        <w:widowControl/>
        <w:ind w:firstLine="420" w:firstLineChars="200"/>
        <w:jc w:val="left"/>
        <w:rPr>
          <w:rFonts w:ascii="宋体" w:hAnsi="宋体" w:cs="宋体"/>
          <w:kern w:val="0"/>
          <w:szCs w:val="21"/>
        </w:rPr>
      </w:pPr>
      <w:r>
        <w:rPr>
          <w:rFonts w:ascii="宋体" w:hAnsi="宋体" w:cs="宋体"/>
          <w:kern w:val="0"/>
          <w:szCs w:val="21"/>
        </w:rPr>
        <w:t>SN/T 232</w:t>
      </w:r>
      <w:r>
        <w:rPr>
          <w:rFonts w:hint="eastAsia" w:ascii="宋体" w:hAnsi="宋体" w:cs="宋体"/>
          <w:kern w:val="0"/>
          <w:szCs w:val="21"/>
        </w:rPr>
        <w:t xml:space="preserve">5 </w:t>
      </w:r>
      <w:r>
        <w:rPr>
          <w:rFonts w:ascii="宋体" w:hAnsi="宋体" w:cs="宋体"/>
          <w:kern w:val="0"/>
          <w:szCs w:val="21"/>
        </w:rPr>
        <w:t>进出口食品中四唑嘧磺隆、甲基苯苏呋安、醚磺隆等45种农药残留量的检测方法 高效液相色谱-质谱/质谱法</w:t>
      </w:r>
    </w:p>
    <w:p>
      <w:pPr>
        <w:widowControl/>
        <w:ind w:firstLine="420" w:firstLineChars="200"/>
        <w:jc w:val="left"/>
        <w:rPr>
          <w:rFonts w:ascii="宋体" w:hAnsi="宋体" w:cs="宋体"/>
          <w:kern w:val="0"/>
          <w:szCs w:val="21"/>
        </w:rPr>
      </w:pPr>
      <w:r>
        <w:rPr>
          <w:rFonts w:ascii="宋体" w:hAnsi="宋体" w:cs="宋体"/>
          <w:kern w:val="0"/>
          <w:szCs w:val="21"/>
        </w:rPr>
        <w:t>SN/T 2915</w:t>
      </w:r>
      <w:r>
        <w:rPr>
          <w:rFonts w:hint="eastAsia" w:ascii="宋体" w:hAnsi="宋体" w:cs="宋体"/>
          <w:kern w:val="0"/>
          <w:szCs w:val="21"/>
        </w:rPr>
        <w:t xml:space="preserve"> 出口食品中甲草胺、乙草胺、甲基吡恶磷等160种农药残留量的检测方法 气相色谱-质谱法</w:t>
      </w:r>
    </w:p>
    <w:p>
      <w:pPr>
        <w:widowControl/>
        <w:ind w:firstLine="420" w:firstLineChars="200"/>
        <w:jc w:val="left"/>
        <w:rPr>
          <w:rFonts w:ascii="宋体" w:hAnsi="宋体" w:cs="宋体"/>
          <w:kern w:val="0"/>
          <w:szCs w:val="21"/>
        </w:rPr>
      </w:pPr>
      <w:r>
        <w:rPr>
          <w:rFonts w:ascii="宋体" w:hAnsi="宋体" w:cs="宋体"/>
          <w:kern w:val="0"/>
          <w:szCs w:val="21"/>
        </w:rPr>
        <w:t>SN/T 4066</w:t>
      </w:r>
      <w:r>
        <w:rPr>
          <w:rFonts w:hint="eastAsia" w:ascii="宋体" w:hAnsi="宋体" w:cs="宋体"/>
          <w:kern w:val="0"/>
          <w:szCs w:val="21"/>
        </w:rPr>
        <w:t xml:space="preserve"> 出口食品中灭螨醌和羟基灭螨醌残留量的测定 液相色谱-质谱/质谱法</w:t>
      </w:r>
    </w:p>
    <w:p>
      <w:pPr>
        <w:widowControl/>
        <w:ind w:firstLine="420" w:firstLineChars="200"/>
        <w:jc w:val="left"/>
        <w:rPr>
          <w:rFonts w:ascii="宋体" w:hAnsi="宋体" w:cs="宋体"/>
          <w:kern w:val="0"/>
          <w:szCs w:val="21"/>
        </w:rPr>
      </w:pPr>
      <w:r>
        <w:rPr>
          <w:rFonts w:ascii="宋体" w:hAnsi="宋体" w:cs="宋体"/>
          <w:kern w:val="0"/>
          <w:szCs w:val="21"/>
        </w:rPr>
        <w:t>SN/T 4138</w:t>
      </w:r>
      <w:r>
        <w:rPr>
          <w:rFonts w:hint="eastAsia" w:ascii="宋体" w:hAnsi="宋体" w:cs="宋体"/>
          <w:kern w:val="0"/>
          <w:szCs w:val="21"/>
        </w:rPr>
        <w:t xml:space="preserve"> 出口水果和蔬菜中敌敌畏、四氯硝基笨、丙线磷等88种农药残留的筛选检测QuEChERS-气相色谱-负化学源质谱法</w:t>
      </w:r>
    </w:p>
    <w:p>
      <w:pPr>
        <w:widowControl/>
        <w:ind w:firstLine="420" w:firstLineChars="200"/>
        <w:jc w:val="left"/>
        <w:rPr>
          <w:rFonts w:ascii="宋体" w:hAnsi="宋体" w:cs="宋体"/>
          <w:kern w:val="0"/>
          <w:szCs w:val="21"/>
        </w:rPr>
      </w:pPr>
      <w:r>
        <w:rPr>
          <w:rFonts w:hint="eastAsia" w:ascii="宋体" w:hAnsi="宋体" w:cs="宋体"/>
          <w:kern w:val="0"/>
          <w:szCs w:val="21"/>
        </w:rPr>
        <w:t>SN/T 4591 出口水果蔬菜中脱落酸等60种农药残留量的测定 液相色谱-质谱/质谱法</w:t>
      </w:r>
    </w:p>
    <w:p>
      <w:pPr>
        <w:widowControl/>
        <w:ind w:firstLine="420" w:firstLineChars="200"/>
        <w:jc w:val="left"/>
        <w:rPr>
          <w:rFonts w:ascii="宋体" w:hAnsi="宋体" w:cs="宋体"/>
          <w:kern w:val="0"/>
          <w:szCs w:val="21"/>
        </w:rPr>
      </w:pPr>
      <w:r>
        <w:rPr>
          <w:rFonts w:hint="eastAsia" w:ascii="宋体" w:hAnsi="宋体" w:cs="宋体"/>
          <w:kern w:val="0"/>
          <w:szCs w:val="21"/>
        </w:rPr>
        <w:t>NY/T 761 蔬菜和水果中有机磷、有机氯、拟除虫菊酯和氨基甲酸酯类农药多残留的测定</w:t>
      </w:r>
    </w:p>
    <w:p>
      <w:pPr>
        <w:widowControl/>
        <w:ind w:firstLine="420" w:firstLineChars="200"/>
        <w:jc w:val="left"/>
        <w:rPr>
          <w:rFonts w:ascii="宋体" w:hAnsi="宋体" w:cs="宋体"/>
          <w:kern w:val="0"/>
          <w:szCs w:val="21"/>
        </w:rPr>
      </w:pPr>
      <w:r>
        <w:rPr>
          <w:rFonts w:hint="eastAsia" w:ascii="宋体" w:hAnsi="宋体" w:cs="宋体"/>
          <w:kern w:val="0"/>
          <w:szCs w:val="21"/>
        </w:rPr>
        <w:t>NY/T 1096 食品中草甘膦残留量测定</w:t>
      </w:r>
    </w:p>
    <w:p>
      <w:pPr>
        <w:widowControl/>
        <w:ind w:firstLine="420" w:firstLineChars="200"/>
        <w:jc w:val="left"/>
        <w:rPr>
          <w:rFonts w:ascii="宋体" w:hAnsi="宋体" w:cs="宋体"/>
          <w:kern w:val="0"/>
          <w:szCs w:val="21"/>
        </w:rPr>
      </w:pPr>
      <w:r>
        <w:rPr>
          <w:rFonts w:hint="eastAsia" w:ascii="宋体" w:hAnsi="宋体" w:cs="宋体"/>
          <w:color w:val="333333"/>
          <w:kern w:val="0"/>
          <w:szCs w:val="21"/>
        </w:rPr>
        <w:t>NY/T 1379 蔬菜中334种农药多残留的测定 气相色谱质谱法和液相色谱质谱法</w:t>
      </w:r>
    </w:p>
    <w:p>
      <w:pPr>
        <w:widowControl/>
        <w:ind w:firstLine="420" w:firstLineChars="200"/>
        <w:jc w:val="left"/>
        <w:rPr>
          <w:rFonts w:ascii="宋体" w:hAnsi="宋体" w:cs="宋体"/>
          <w:kern w:val="0"/>
          <w:szCs w:val="21"/>
        </w:rPr>
      </w:pPr>
      <w:r>
        <w:rPr>
          <w:rFonts w:hint="eastAsia" w:ascii="宋体" w:hAnsi="宋体" w:cs="宋体"/>
          <w:kern w:val="0"/>
          <w:szCs w:val="21"/>
        </w:rPr>
        <w:t>NY/T 1453 蔬菜及水果中多菌灵等16种农药残留测定 液相色谱-质谱-质谱联用法</w:t>
      </w:r>
    </w:p>
    <w:p>
      <w:pPr>
        <w:widowControl/>
        <w:ind w:firstLine="420" w:firstLineChars="200"/>
        <w:jc w:val="left"/>
        <w:rPr>
          <w:rFonts w:ascii="宋体" w:hAnsi="宋体" w:cs="宋体"/>
          <w:kern w:val="0"/>
          <w:szCs w:val="21"/>
        </w:rPr>
      </w:pPr>
      <w:r>
        <w:rPr>
          <w:rFonts w:hint="eastAsia" w:ascii="宋体" w:hAnsi="宋体" w:cs="宋体"/>
          <w:kern w:val="0"/>
          <w:szCs w:val="21"/>
        </w:rPr>
        <w:t>NY/T 1455 水果中腈菌唑残留量的测定 气相色谱法</w:t>
      </w:r>
    </w:p>
    <w:p>
      <w:pPr>
        <w:widowControl/>
        <w:ind w:firstLine="420" w:firstLineChars="200"/>
        <w:jc w:val="left"/>
        <w:rPr>
          <w:rFonts w:ascii="宋体" w:hAnsi="宋体" w:cs="宋体"/>
          <w:kern w:val="0"/>
          <w:szCs w:val="21"/>
        </w:rPr>
      </w:pPr>
      <w:r>
        <w:rPr>
          <w:rFonts w:hint="eastAsia" w:ascii="宋体" w:hAnsi="宋体" w:cs="宋体"/>
          <w:kern w:val="0"/>
          <w:szCs w:val="21"/>
        </w:rPr>
        <w:t>NY/T 1456 水果中咪鲜胺残留量的测定 气相色谱法</w:t>
      </w:r>
    </w:p>
    <w:p>
      <w:pPr>
        <w:widowControl/>
        <w:ind w:firstLine="420" w:firstLineChars="200"/>
        <w:jc w:val="left"/>
        <w:rPr>
          <w:rFonts w:ascii="宋体" w:hAnsi="宋体" w:cs="宋体"/>
          <w:kern w:val="0"/>
          <w:szCs w:val="21"/>
        </w:rPr>
      </w:pPr>
      <w:r>
        <w:rPr>
          <w:rFonts w:hint="eastAsia" w:ascii="宋体" w:hAnsi="宋体" w:cs="宋体"/>
          <w:kern w:val="0"/>
          <w:szCs w:val="21"/>
        </w:rPr>
        <w:t>NY/T 1680 蔬菜水果中多菌灵等4种苯并咪唑类农药残留量的测定 高效液相色谱法</w:t>
      </w:r>
    </w:p>
    <w:p>
      <w:pPr>
        <w:widowControl/>
        <w:ind w:firstLine="420" w:firstLineChars="200"/>
        <w:jc w:val="left"/>
        <w:rPr>
          <w:rFonts w:ascii="宋体" w:hAnsi="宋体" w:cs="宋体"/>
          <w:kern w:val="0"/>
          <w:szCs w:val="21"/>
        </w:rPr>
      </w:pPr>
      <w:r>
        <w:rPr>
          <w:rFonts w:hint="eastAsia" w:ascii="宋体" w:hAnsi="宋体" w:cs="宋体"/>
          <w:kern w:val="0"/>
          <w:szCs w:val="21"/>
        </w:rPr>
        <w:t>NY/T 1720 水果、蔬菜中杀铃脲等七种苯甲酰脲类农药残留量的测定 高效液相色谱法</w:t>
      </w:r>
    </w:p>
    <w:p>
      <w:pPr>
        <w:widowControl/>
        <w:ind w:firstLine="420" w:firstLineChars="200"/>
        <w:jc w:val="left"/>
        <w:rPr>
          <w:rFonts w:ascii="宋体" w:hAnsi="宋体" w:cs="宋体"/>
          <w:kern w:val="0"/>
          <w:szCs w:val="21"/>
        </w:rPr>
      </w:pPr>
      <w:r>
        <w:rPr>
          <w:rFonts w:hint="eastAsia" w:ascii="宋体" w:hAnsi="宋体" w:cs="宋体"/>
          <w:kern w:val="0"/>
          <w:szCs w:val="21"/>
        </w:rPr>
        <w:t>YC/T 180  烟草及烟草制品 毒杀芬农药残留量的测定 气相色谱法</w:t>
      </w:r>
    </w:p>
    <w:p>
      <w:pPr>
        <w:widowControl/>
        <w:ind w:firstLine="420" w:firstLineChars="200"/>
        <w:jc w:val="left"/>
        <w:rPr>
          <w:rFonts w:ascii="宋体" w:hAnsi="宋体" w:cs="宋体"/>
          <w:color w:val="000000"/>
          <w:kern w:val="0"/>
          <w:szCs w:val="21"/>
        </w:rPr>
      </w:pPr>
    </w:p>
    <w:p>
      <w:pPr>
        <w:pStyle w:val="47"/>
        <w:numPr>
          <w:ilvl w:val="255"/>
          <w:numId w:val="0"/>
        </w:numPr>
        <w:spacing w:before="312" w:after="312"/>
      </w:pPr>
      <w:bookmarkStart w:id="22" w:name="_Toc116331315"/>
      <w:r>
        <w:rPr>
          <w:rFonts w:hint="eastAsia"/>
        </w:rPr>
        <w:t>3 术语和定义</w:t>
      </w:r>
      <w:bookmarkEnd w:id="22"/>
      <w:r>
        <w:rPr>
          <w:rFonts w:hint="eastAsia"/>
        </w:rPr>
        <w:t xml:space="preserve"> </w:t>
      </w:r>
    </w:p>
    <w:p>
      <w:pPr>
        <w:widowControl/>
        <w:ind w:firstLine="420" w:firstLineChars="200"/>
        <w:jc w:val="left"/>
        <w:rPr>
          <w:rFonts w:ascii="宋体" w:hAnsi="宋体" w:cs="宋体"/>
          <w:color w:val="000000"/>
          <w:kern w:val="0"/>
          <w:szCs w:val="21"/>
        </w:rPr>
      </w:pPr>
      <w:r>
        <w:rPr>
          <w:rFonts w:hint="eastAsia" w:ascii="宋体" w:hAnsi="宋体" w:cs="宋体"/>
          <w:color w:val="000000"/>
          <w:kern w:val="0"/>
          <w:szCs w:val="21"/>
        </w:rPr>
        <w:t>下列术语和定义适用于本文件。</w:t>
      </w:r>
    </w:p>
    <w:p>
      <w:pPr>
        <w:rPr>
          <w:rFonts w:hint="eastAsia" w:ascii="黑体" w:hAnsi="宋体" w:eastAsia="黑体" w:cs="黑体"/>
          <w:color w:val="000000"/>
          <w:kern w:val="0"/>
          <w:szCs w:val="21"/>
        </w:rPr>
      </w:pPr>
      <w:r>
        <w:rPr>
          <w:rFonts w:hint="eastAsia" w:ascii="黑体" w:hAnsi="宋体" w:eastAsia="黑体" w:cs="黑体"/>
          <w:color w:val="000000"/>
          <w:kern w:val="0"/>
          <w:szCs w:val="21"/>
        </w:rPr>
        <w:t>3.1</w:t>
      </w:r>
    </w:p>
    <w:p>
      <w:pPr>
        <w:ind w:firstLine="420" w:firstLineChars="200"/>
        <w:rPr>
          <w:rFonts w:ascii="黑体" w:hAnsi="宋体" w:eastAsia="黑体" w:cs="黑体"/>
          <w:color w:val="000000"/>
          <w:kern w:val="0"/>
          <w:szCs w:val="21"/>
        </w:rPr>
      </w:pPr>
      <w:r>
        <w:rPr>
          <w:rFonts w:hint="eastAsia" w:ascii="黑体" w:hAnsi="宋体" w:eastAsia="黑体" w:cs="黑体"/>
          <w:color w:val="000000"/>
          <w:kern w:val="0"/>
          <w:szCs w:val="21"/>
        </w:rPr>
        <w:t>污染物   pollutant</w:t>
      </w:r>
    </w:p>
    <w:p>
      <w:pPr>
        <w:widowControl/>
        <w:ind w:firstLine="420" w:firstLineChars="200"/>
        <w:jc w:val="left"/>
        <w:rPr>
          <w:rFonts w:ascii="宋体" w:hAnsi="宋体" w:cs="宋体"/>
          <w:color w:val="000000"/>
          <w:kern w:val="0"/>
          <w:szCs w:val="21"/>
        </w:rPr>
      </w:pPr>
      <w:r>
        <w:rPr>
          <w:rFonts w:ascii="宋体" w:hAnsi="宋体" w:cs="宋体"/>
          <w:color w:val="000000"/>
          <w:kern w:val="0"/>
          <w:szCs w:val="21"/>
        </w:rPr>
        <w:t>本标准所规定的污染物是指除农药残留、兽药残留、生物毒素和放射性物质以外的污染物。</w:t>
      </w:r>
    </w:p>
    <w:p>
      <w:pPr>
        <w:rPr>
          <w:rFonts w:hint="eastAsia" w:ascii="黑体" w:hAnsi="宋体" w:eastAsia="黑体" w:cs="黑体"/>
          <w:color w:val="000000"/>
          <w:kern w:val="0"/>
          <w:szCs w:val="21"/>
        </w:rPr>
      </w:pPr>
      <w:r>
        <w:rPr>
          <w:rFonts w:hint="eastAsia" w:ascii="黑体" w:hAnsi="宋体" w:eastAsia="黑体" w:cs="黑体"/>
          <w:color w:val="000000"/>
          <w:kern w:val="0"/>
          <w:szCs w:val="21"/>
        </w:rPr>
        <w:t>3.2</w:t>
      </w:r>
    </w:p>
    <w:p>
      <w:pPr>
        <w:ind w:firstLine="420" w:firstLineChars="200"/>
        <w:rPr>
          <w:rFonts w:ascii="黑体" w:hAnsi="宋体" w:eastAsia="黑体" w:cs="黑体"/>
          <w:color w:val="000000"/>
          <w:kern w:val="0"/>
          <w:szCs w:val="21"/>
        </w:rPr>
      </w:pPr>
      <w:r>
        <w:rPr>
          <w:rFonts w:hint="eastAsia" w:ascii="黑体" w:hAnsi="宋体" w:eastAsia="黑体" w:cs="黑体"/>
          <w:color w:val="000000"/>
          <w:kern w:val="0"/>
          <w:szCs w:val="21"/>
        </w:rPr>
        <w:t>残留物   residue definition</w:t>
      </w:r>
    </w:p>
    <w:p>
      <w:pPr>
        <w:widowControl/>
        <w:ind w:firstLine="420" w:firstLineChars="200"/>
        <w:jc w:val="left"/>
        <w:rPr>
          <w:rFonts w:ascii="宋体" w:hAnsi="宋体" w:cs="宋体"/>
          <w:color w:val="000000"/>
          <w:kern w:val="0"/>
          <w:szCs w:val="21"/>
        </w:rPr>
      </w:pPr>
      <w:r>
        <w:rPr>
          <w:rFonts w:hint="eastAsia" w:ascii="宋体" w:hAnsi="宋体" w:cs="宋体"/>
          <w:color w:val="000000"/>
          <w:kern w:val="0"/>
          <w:szCs w:val="21"/>
        </w:rPr>
        <w:t>由于使用农药而在食品、农产品和动物饲料中出现的任何特定物质，包括被认为具有毒理学意义的农药術生物，如农药转化物、代谢物、反应产物及杂质等。</w:t>
      </w:r>
    </w:p>
    <w:p>
      <w:pPr>
        <w:widowControl/>
        <w:jc w:val="left"/>
        <w:rPr>
          <w:rFonts w:hint="eastAsia" w:ascii="黑体" w:hAnsi="宋体" w:eastAsia="黑体" w:cs="黑体"/>
          <w:color w:val="000000"/>
          <w:kern w:val="0"/>
          <w:szCs w:val="21"/>
        </w:rPr>
      </w:pPr>
      <w:r>
        <w:rPr>
          <w:rFonts w:hint="eastAsia" w:ascii="黑体" w:hAnsi="宋体" w:eastAsia="黑体" w:cs="黑体"/>
          <w:color w:val="000000"/>
          <w:kern w:val="0"/>
          <w:szCs w:val="21"/>
        </w:rPr>
        <w:t>3.3</w:t>
      </w:r>
    </w:p>
    <w:p>
      <w:pPr>
        <w:ind w:firstLine="420" w:firstLineChars="200"/>
        <w:rPr>
          <w:rFonts w:ascii="黑体" w:hAnsi="宋体" w:eastAsia="黑体" w:cs="黑体"/>
          <w:color w:val="000000"/>
          <w:kern w:val="0"/>
          <w:szCs w:val="21"/>
        </w:rPr>
      </w:pPr>
      <w:r>
        <w:rPr>
          <w:rFonts w:hint="eastAsia" w:ascii="黑体" w:hAnsi="宋体" w:eastAsia="黑体" w:cs="黑体"/>
          <w:color w:val="000000"/>
          <w:kern w:val="0"/>
          <w:szCs w:val="21"/>
        </w:rPr>
        <w:t>限量   limit</w:t>
      </w:r>
    </w:p>
    <w:p>
      <w:pPr>
        <w:widowControl/>
        <w:ind w:firstLine="420" w:firstLineChars="200"/>
        <w:jc w:val="left"/>
        <w:rPr>
          <w:rFonts w:ascii="宋体" w:hAnsi="宋体" w:cs="宋体"/>
          <w:color w:val="000000"/>
          <w:kern w:val="0"/>
          <w:szCs w:val="21"/>
        </w:rPr>
      </w:pPr>
      <w:r>
        <w:rPr>
          <w:rFonts w:hint="eastAsia" w:ascii="宋体" w:hAnsi="宋体" w:cs="宋体"/>
          <w:color w:val="000000"/>
          <w:kern w:val="0"/>
          <w:szCs w:val="21"/>
        </w:rPr>
        <w:t>污染物在食品原料和（或）食品成品可食用部分中允许的最大含量水平,以每千克食品原料或食品成品可食用部分中污染物的毫克数表示( mg/kg)。</w:t>
      </w:r>
    </w:p>
    <w:p>
      <w:pPr>
        <w:widowControl/>
        <w:jc w:val="left"/>
        <w:rPr>
          <w:rFonts w:hint="eastAsia" w:ascii="黑体" w:hAnsi="宋体" w:eastAsia="黑体" w:cs="黑体"/>
          <w:color w:val="000000"/>
          <w:kern w:val="0"/>
          <w:szCs w:val="21"/>
        </w:rPr>
      </w:pPr>
      <w:r>
        <w:rPr>
          <w:rFonts w:hint="eastAsia" w:ascii="黑体" w:hAnsi="宋体" w:eastAsia="黑体" w:cs="黑体"/>
          <w:color w:val="000000"/>
          <w:kern w:val="0"/>
          <w:szCs w:val="21"/>
        </w:rPr>
        <w:t>3.4</w:t>
      </w:r>
    </w:p>
    <w:p>
      <w:pPr>
        <w:ind w:firstLine="420" w:firstLineChars="200"/>
        <w:rPr>
          <w:rFonts w:ascii="黑体" w:hAnsi="宋体" w:eastAsia="黑体" w:cs="黑体"/>
          <w:color w:val="000000"/>
          <w:kern w:val="0"/>
          <w:szCs w:val="21"/>
        </w:rPr>
      </w:pPr>
      <w:r>
        <w:rPr>
          <w:rFonts w:hint="eastAsia" w:ascii="黑体" w:hAnsi="宋体" w:eastAsia="黑体" w:cs="黑体"/>
          <w:color w:val="000000"/>
          <w:kern w:val="0"/>
          <w:szCs w:val="21"/>
        </w:rPr>
        <w:t>最大残留限量   maximum residue limit(MRL)</w:t>
      </w:r>
    </w:p>
    <w:p>
      <w:pPr>
        <w:widowControl/>
        <w:ind w:firstLine="420" w:firstLineChars="200"/>
        <w:jc w:val="left"/>
        <w:rPr>
          <w:rFonts w:ascii="宋体" w:hAnsi="宋体" w:cs="宋体"/>
          <w:color w:val="000000"/>
          <w:kern w:val="0"/>
          <w:szCs w:val="21"/>
        </w:rPr>
      </w:pPr>
      <w:r>
        <w:rPr>
          <w:rFonts w:hint="eastAsia" w:ascii="宋体" w:hAnsi="宋体" w:cs="宋体"/>
          <w:color w:val="000000"/>
          <w:kern w:val="0"/>
          <w:szCs w:val="21"/>
        </w:rPr>
        <w:t>在食品或农产品内部或表面法定允许的农药最大浓度,以每千克食品或农产品中农药残留的毫克数表示( mg/kg)。</w:t>
      </w:r>
    </w:p>
    <w:p>
      <w:pPr>
        <w:widowControl/>
        <w:jc w:val="left"/>
        <w:rPr>
          <w:rFonts w:hint="eastAsia" w:ascii="黑体" w:hAnsi="宋体" w:eastAsia="黑体" w:cs="黑体"/>
          <w:color w:val="000000"/>
          <w:kern w:val="0"/>
          <w:szCs w:val="21"/>
        </w:rPr>
      </w:pPr>
      <w:r>
        <w:rPr>
          <w:rFonts w:hint="eastAsia" w:ascii="黑体" w:hAnsi="宋体" w:eastAsia="黑体" w:cs="黑体"/>
          <w:color w:val="000000"/>
          <w:kern w:val="0"/>
          <w:szCs w:val="21"/>
        </w:rPr>
        <w:t>3.5</w:t>
      </w:r>
    </w:p>
    <w:p>
      <w:pPr>
        <w:ind w:firstLine="420" w:firstLineChars="200"/>
        <w:rPr>
          <w:rFonts w:ascii="黑体" w:hAnsi="宋体" w:eastAsia="黑体" w:cs="黑体"/>
          <w:color w:val="000000"/>
          <w:kern w:val="0"/>
          <w:szCs w:val="21"/>
        </w:rPr>
      </w:pPr>
      <w:r>
        <w:rPr>
          <w:rFonts w:hint="eastAsia" w:ascii="黑体" w:hAnsi="宋体" w:eastAsia="黑体" w:cs="黑体"/>
          <w:color w:val="000000"/>
          <w:kern w:val="0"/>
          <w:szCs w:val="21"/>
        </w:rPr>
        <w:t>可食用部分   edible part</w:t>
      </w:r>
    </w:p>
    <w:p>
      <w:pPr>
        <w:widowControl/>
        <w:ind w:firstLine="420" w:firstLineChars="200"/>
        <w:jc w:val="left"/>
        <w:rPr>
          <w:rFonts w:ascii="宋体" w:hAnsi="宋体" w:cs="宋体"/>
          <w:color w:val="000000"/>
          <w:kern w:val="0"/>
          <w:szCs w:val="21"/>
        </w:rPr>
      </w:pPr>
      <w:r>
        <w:rPr>
          <w:rFonts w:hint="eastAsia" w:ascii="宋体" w:hAnsi="宋体" w:cs="宋体"/>
          <w:color w:val="000000"/>
          <w:kern w:val="0"/>
          <w:szCs w:val="21"/>
        </w:rPr>
        <w:t>食品原料经过机械手段去除非食用部分后，所得到的用于食用的部分。</w:t>
      </w:r>
    </w:p>
    <w:p>
      <w:pPr>
        <w:pStyle w:val="47"/>
        <w:numPr>
          <w:ilvl w:val="255"/>
          <w:numId w:val="0"/>
        </w:numPr>
        <w:spacing w:before="312" w:after="312"/>
      </w:pPr>
      <w:bookmarkStart w:id="23" w:name="_Toc116331316"/>
      <w:r>
        <w:rPr>
          <w:rFonts w:hint="eastAsia"/>
        </w:rPr>
        <w:t>4 指标要求</w:t>
      </w:r>
      <w:bookmarkEnd w:id="23"/>
      <w:r>
        <w:rPr>
          <w:rFonts w:hint="eastAsia"/>
        </w:rPr>
        <w:t xml:space="preserve"> </w:t>
      </w:r>
    </w:p>
    <w:p>
      <w:pPr>
        <w:widowControl/>
        <w:jc w:val="left"/>
        <w:rPr>
          <w:rFonts w:ascii="黑体" w:hAnsi="宋体" w:eastAsia="黑体" w:cs="黑体"/>
          <w:color w:val="000000"/>
          <w:kern w:val="0"/>
          <w:szCs w:val="21"/>
        </w:rPr>
      </w:pPr>
      <w:r>
        <w:rPr>
          <w:rFonts w:hint="eastAsia" w:ascii="黑体" w:hAnsi="宋体" w:eastAsia="黑体" w:cs="黑体"/>
          <w:color w:val="000000"/>
          <w:kern w:val="0"/>
          <w:szCs w:val="21"/>
        </w:rPr>
        <w:t xml:space="preserve">4.1 污染物限量指标要求   </w:t>
      </w:r>
      <w:r>
        <w:rPr>
          <w:rFonts w:hint="eastAsia" w:ascii="宋体" w:hAnsi="宋体" w:cs="宋体"/>
          <w:color w:val="000000"/>
          <w:kern w:val="0"/>
          <w:szCs w:val="21"/>
        </w:rPr>
        <w:t>枇杷中污染物限量指标要求及检测方法见附录A</w:t>
      </w:r>
    </w:p>
    <w:p>
      <w:pPr>
        <w:widowControl/>
        <w:jc w:val="left"/>
        <w:rPr>
          <w:rFonts w:ascii="宋体" w:hAnsi="宋体" w:cs="宋体"/>
          <w:color w:val="000000"/>
          <w:kern w:val="0"/>
          <w:szCs w:val="21"/>
        </w:rPr>
      </w:pPr>
      <w:r>
        <w:rPr>
          <w:rFonts w:hint="eastAsia" w:ascii="黑体" w:hAnsi="宋体" w:eastAsia="黑体" w:cs="黑体"/>
          <w:color w:val="000000"/>
          <w:kern w:val="0"/>
          <w:szCs w:val="21"/>
        </w:rPr>
        <w:t xml:space="preserve">4.2 农药最大残留限量指标要求  </w:t>
      </w:r>
      <w:r>
        <w:rPr>
          <w:rFonts w:hint="eastAsia" w:ascii="宋体" w:hAnsi="宋体" w:cs="宋体"/>
          <w:color w:val="000000"/>
          <w:kern w:val="0"/>
          <w:szCs w:val="21"/>
        </w:rPr>
        <w:t>枇杷中农药最大残留限量指标要求及检测方法见附录B</w:t>
      </w:r>
    </w:p>
    <w:p>
      <w:pPr>
        <w:pStyle w:val="47"/>
        <w:numPr>
          <w:ilvl w:val="255"/>
          <w:numId w:val="0"/>
        </w:numPr>
        <w:spacing w:before="312" w:after="312"/>
      </w:pPr>
      <w:bookmarkStart w:id="24" w:name="_Toc116331317"/>
      <w:r>
        <w:rPr>
          <w:rFonts w:hint="eastAsia"/>
        </w:rPr>
        <w:t>5 测定部位</w:t>
      </w:r>
      <w:bookmarkEnd w:id="24"/>
      <w:r>
        <w:rPr>
          <w:rFonts w:hint="eastAsia"/>
        </w:rPr>
        <w:t xml:space="preserve"> </w:t>
      </w:r>
    </w:p>
    <w:p>
      <w:pPr>
        <w:widowControl/>
        <w:jc w:val="left"/>
      </w:pPr>
      <w:r>
        <w:rPr>
          <w:rFonts w:hint="eastAsia" w:ascii="黑体" w:hAnsi="宋体" w:eastAsia="黑体" w:cs="黑体"/>
          <w:color w:val="000000"/>
          <w:kern w:val="0"/>
          <w:szCs w:val="21"/>
        </w:rPr>
        <w:t xml:space="preserve">5.1 污染物 </w:t>
      </w:r>
    </w:p>
    <w:p>
      <w:pPr>
        <w:widowControl/>
        <w:ind w:firstLine="420" w:firstLineChars="200"/>
        <w:jc w:val="left"/>
        <w:rPr>
          <w:rFonts w:ascii="宋体" w:hAnsi="宋体" w:cs="宋体"/>
          <w:color w:val="000000"/>
          <w:kern w:val="0"/>
          <w:szCs w:val="21"/>
        </w:rPr>
      </w:pPr>
      <w:r>
        <w:rPr>
          <w:rFonts w:hint="eastAsia" w:ascii="宋体" w:hAnsi="宋体" w:cs="宋体"/>
          <w:color w:val="000000"/>
          <w:kern w:val="0"/>
          <w:szCs w:val="21"/>
        </w:rPr>
        <w:t>枇杷剥皮，除核后的可食用部分。</w:t>
      </w:r>
    </w:p>
    <w:p>
      <w:pPr>
        <w:widowControl/>
        <w:jc w:val="left"/>
        <w:rPr>
          <w:rFonts w:ascii="黑体" w:hAnsi="宋体" w:eastAsia="黑体" w:cs="黑体"/>
          <w:color w:val="000000"/>
          <w:kern w:val="0"/>
          <w:szCs w:val="21"/>
        </w:rPr>
      </w:pPr>
      <w:r>
        <w:rPr>
          <w:rFonts w:hint="eastAsia" w:ascii="黑体" w:hAnsi="宋体" w:eastAsia="黑体" w:cs="黑体"/>
          <w:color w:val="000000"/>
          <w:kern w:val="0"/>
          <w:szCs w:val="21"/>
        </w:rPr>
        <w:t>5.2 农药</w:t>
      </w:r>
    </w:p>
    <w:p>
      <w:pPr>
        <w:widowControl/>
        <w:ind w:firstLine="420" w:firstLineChars="200"/>
        <w:jc w:val="left"/>
        <w:rPr>
          <w:rFonts w:ascii="宋体" w:hAnsi="宋体" w:cs="宋体"/>
          <w:color w:val="000000"/>
          <w:kern w:val="0"/>
          <w:szCs w:val="21"/>
        </w:rPr>
      </w:pPr>
      <w:r>
        <w:rPr>
          <w:rFonts w:hint="eastAsia" w:ascii="宋体" w:hAnsi="宋体" w:cs="宋体"/>
          <w:color w:val="000000"/>
          <w:kern w:val="0"/>
          <w:szCs w:val="21"/>
        </w:rPr>
        <w:t>全果(去柄和果核)。残留量计算应计入果核的重量。</w:t>
      </w:r>
    </w:p>
    <w:p>
      <w:pPr>
        <w:pStyle w:val="3"/>
        <w:jc w:val="both"/>
        <w:rPr>
          <w:rFonts w:hint="eastAsia" w:ascii="宋体" w:hAnsi="宋体" w:cs="宋体"/>
          <w:color w:val="000000"/>
          <w:kern w:val="0"/>
          <w:szCs w:val="21"/>
        </w:rPr>
        <w:sectPr>
          <w:pgSz w:w="11906" w:h="16838"/>
          <w:pgMar w:top="567" w:right="1134" w:bottom="1134" w:left="1417" w:header="1418" w:footer="1134" w:gutter="0"/>
          <w:pgNumType w:start="1"/>
          <w:cols w:space="720" w:num="1"/>
          <w:formProt w:val="0"/>
          <w:docGrid w:type="lines" w:linePitch="312" w:charSpace="0"/>
        </w:sectPr>
      </w:pPr>
      <w:bookmarkStart w:id="25" w:name="_Toc116331318"/>
    </w:p>
    <w:p>
      <w:pPr>
        <w:pStyle w:val="3"/>
        <w:jc w:val="center"/>
        <w:rPr>
          <w:rFonts w:ascii="宋体" w:hAnsi="宋体" w:cs="宋体"/>
          <w:b w:val="0"/>
          <w:bCs w:val="0"/>
          <w:color w:val="000000"/>
          <w:kern w:val="0"/>
          <w:szCs w:val="21"/>
        </w:rPr>
      </w:pPr>
      <w:r>
        <w:rPr>
          <w:rFonts w:hint="eastAsia" w:ascii="宋体" w:hAnsi="宋体" w:cs="宋体"/>
          <w:color w:val="000000"/>
          <w:kern w:val="0"/>
          <w:szCs w:val="21"/>
        </w:rPr>
        <w:t>附录A 枇杷中污染物限量指标要求及检测方法</w:t>
      </w:r>
      <w:bookmarkEnd w:id="25"/>
    </w:p>
    <w:p>
      <w:pPr>
        <w:widowControl/>
        <w:ind w:firstLine="422" w:firstLineChars="200"/>
        <w:jc w:val="center"/>
        <w:rPr>
          <w:rFonts w:ascii="宋体" w:hAnsi="宋体" w:cs="宋体"/>
          <w:b/>
          <w:bCs/>
          <w:color w:val="000000"/>
          <w:kern w:val="0"/>
          <w:szCs w:val="21"/>
        </w:rPr>
      </w:pPr>
    </w:p>
    <w:p>
      <w:pPr>
        <w:widowControl/>
        <w:ind w:firstLine="422" w:firstLineChars="200"/>
        <w:jc w:val="center"/>
        <w:rPr>
          <w:rFonts w:ascii="宋体" w:hAnsi="宋体" w:cs="宋体"/>
          <w:b/>
          <w:bCs/>
          <w:color w:val="000000"/>
          <w:kern w:val="0"/>
          <w:szCs w:val="21"/>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2108"/>
        <w:gridCol w:w="1958"/>
        <w:gridCol w:w="3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tcPr>
          <w:p>
            <w:pPr>
              <w:widowControl/>
              <w:spacing w:line="480" w:lineRule="auto"/>
              <w:jc w:val="center"/>
              <w:rPr>
                <w:rFonts w:ascii="宋体" w:hAnsi="宋体" w:cs="宋体"/>
                <w:color w:val="000000"/>
                <w:kern w:val="0"/>
                <w:szCs w:val="21"/>
              </w:rPr>
            </w:pPr>
            <w:r>
              <w:rPr>
                <w:rFonts w:hint="eastAsia" w:ascii="宋体" w:hAnsi="宋体" w:cs="宋体"/>
                <w:color w:val="000000"/>
                <w:kern w:val="0"/>
                <w:szCs w:val="21"/>
              </w:rPr>
              <w:t>序号</w:t>
            </w:r>
          </w:p>
        </w:tc>
        <w:tc>
          <w:tcPr>
            <w:tcW w:w="2108" w:type="dxa"/>
          </w:tcPr>
          <w:p>
            <w:pPr>
              <w:widowControl/>
              <w:spacing w:line="480" w:lineRule="auto"/>
              <w:jc w:val="center"/>
              <w:rPr>
                <w:rFonts w:ascii="宋体" w:hAnsi="宋体" w:cs="宋体"/>
                <w:color w:val="000000"/>
                <w:kern w:val="0"/>
                <w:szCs w:val="21"/>
              </w:rPr>
            </w:pPr>
            <w:r>
              <w:rPr>
                <w:rFonts w:hint="eastAsia" w:ascii="宋体" w:hAnsi="宋体" w:cs="宋体"/>
                <w:color w:val="000000"/>
                <w:kern w:val="0"/>
                <w:szCs w:val="21"/>
              </w:rPr>
              <w:t>污染物名称</w:t>
            </w:r>
          </w:p>
        </w:tc>
        <w:tc>
          <w:tcPr>
            <w:tcW w:w="1958" w:type="dxa"/>
          </w:tcPr>
          <w:p>
            <w:pPr>
              <w:widowControl/>
              <w:spacing w:line="480" w:lineRule="auto"/>
              <w:jc w:val="center"/>
              <w:rPr>
                <w:rFonts w:ascii="宋体" w:hAnsi="宋体" w:cs="宋体"/>
                <w:color w:val="000000"/>
                <w:kern w:val="0"/>
                <w:szCs w:val="21"/>
              </w:rPr>
            </w:pPr>
            <w:r>
              <w:rPr>
                <w:rFonts w:hint="eastAsia" w:ascii="宋体" w:hAnsi="宋体" w:cs="宋体"/>
                <w:color w:val="000000"/>
                <w:kern w:val="0"/>
                <w:szCs w:val="21"/>
              </w:rPr>
              <w:t>限量，mg/kg</w:t>
            </w:r>
          </w:p>
        </w:tc>
        <w:tc>
          <w:tcPr>
            <w:tcW w:w="3465" w:type="dxa"/>
          </w:tcPr>
          <w:p>
            <w:pPr>
              <w:widowControl/>
              <w:spacing w:line="480" w:lineRule="auto"/>
              <w:jc w:val="center"/>
              <w:rPr>
                <w:rFonts w:ascii="宋体" w:hAnsi="宋体" w:cs="宋体"/>
                <w:color w:val="000000"/>
                <w:kern w:val="0"/>
                <w:szCs w:val="21"/>
              </w:rPr>
            </w:pPr>
            <w:r>
              <w:rPr>
                <w:rFonts w:hint="eastAsia" w:ascii="宋体" w:hAnsi="宋体" w:cs="宋体"/>
                <w:color w:val="000000"/>
                <w:kern w:val="0"/>
                <w:szCs w:val="21"/>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tcPr>
          <w:p>
            <w:pPr>
              <w:widowControl/>
              <w:spacing w:line="48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2108" w:type="dxa"/>
          </w:tcPr>
          <w:p>
            <w:pPr>
              <w:widowControl/>
              <w:spacing w:line="480" w:lineRule="auto"/>
              <w:jc w:val="center"/>
              <w:rPr>
                <w:rFonts w:ascii="宋体" w:hAnsi="宋体" w:cs="宋体"/>
                <w:color w:val="000000"/>
                <w:kern w:val="0"/>
                <w:szCs w:val="21"/>
              </w:rPr>
            </w:pPr>
            <w:r>
              <w:rPr>
                <w:rFonts w:hint="eastAsia" w:ascii="宋体" w:hAnsi="宋体" w:cs="宋体"/>
                <w:color w:val="000000"/>
                <w:kern w:val="0"/>
                <w:szCs w:val="21"/>
              </w:rPr>
              <w:t>铅（以Pb计）</w:t>
            </w:r>
          </w:p>
        </w:tc>
        <w:tc>
          <w:tcPr>
            <w:tcW w:w="1958" w:type="dxa"/>
          </w:tcPr>
          <w:p>
            <w:pPr>
              <w:widowControl/>
              <w:spacing w:line="480" w:lineRule="auto"/>
              <w:jc w:val="center"/>
              <w:rPr>
                <w:rFonts w:ascii="宋体" w:hAnsi="宋体" w:cs="宋体"/>
                <w:color w:val="000000"/>
                <w:kern w:val="0"/>
                <w:szCs w:val="21"/>
              </w:rPr>
            </w:pPr>
            <w:r>
              <w:rPr>
                <w:rFonts w:hint="eastAsia" w:ascii="宋体" w:hAnsi="宋体" w:cs="宋体"/>
                <w:color w:val="000000"/>
                <w:kern w:val="0"/>
                <w:szCs w:val="21"/>
              </w:rPr>
              <w:t>0.1</w:t>
            </w:r>
          </w:p>
        </w:tc>
        <w:tc>
          <w:tcPr>
            <w:tcW w:w="3465" w:type="dxa"/>
          </w:tcPr>
          <w:p>
            <w:pPr>
              <w:widowControl/>
              <w:spacing w:line="480" w:lineRule="auto"/>
              <w:jc w:val="center"/>
              <w:rPr>
                <w:rFonts w:ascii="宋体" w:hAnsi="宋体" w:cs="宋体"/>
                <w:color w:val="000000"/>
                <w:kern w:val="0"/>
                <w:szCs w:val="21"/>
              </w:rPr>
            </w:pPr>
            <w:r>
              <w:rPr>
                <w:rFonts w:hint="eastAsia" w:ascii="宋体" w:hAnsi="宋体" w:cs="宋体"/>
                <w:color w:val="000000"/>
                <w:kern w:val="0"/>
                <w:szCs w:val="21"/>
              </w:rPr>
              <w:t>GB 5009.12、GB 5009.268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tcPr>
          <w:p>
            <w:pPr>
              <w:widowControl/>
              <w:spacing w:line="48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2108" w:type="dxa"/>
          </w:tcPr>
          <w:p>
            <w:pPr>
              <w:widowControl/>
              <w:spacing w:line="480" w:lineRule="auto"/>
              <w:jc w:val="center"/>
              <w:rPr>
                <w:rFonts w:ascii="宋体" w:hAnsi="宋体" w:cs="宋体"/>
                <w:color w:val="000000"/>
                <w:kern w:val="0"/>
                <w:szCs w:val="21"/>
              </w:rPr>
            </w:pPr>
            <w:r>
              <w:rPr>
                <w:rFonts w:hint="eastAsia" w:ascii="宋体" w:hAnsi="宋体" w:cs="宋体"/>
                <w:color w:val="000000"/>
                <w:kern w:val="0"/>
                <w:szCs w:val="21"/>
              </w:rPr>
              <w:t>镉（以Cd计）</w:t>
            </w:r>
          </w:p>
        </w:tc>
        <w:tc>
          <w:tcPr>
            <w:tcW w:w="1958" w:type="dxa"/>
          </w:tcPr>
          <w:p>
            <w:pPr>
              <w:widowControl/>
              <w:spacing w:line="480" w:lineRule="auto"/>
              <w:jc w:val="center"/>
              <w:rPr>
                <w:rFonts w:ascii="宋体" w:hAnsi="宋体" w:cs="宋体"/>
                <w:color w:val="000000"/>
                <w:kern w:val="0"/>
                <w:szCs w:val="21"/>
              </w:rPr>
            </w:pPr>
            <w:r>
              <w:rPr>
                <w:rFonts w:hint="eastAsia" w:ascii="宋体" w:hAnsi="宋体" w:cs="宋体"/>
                <w:color w:val="000000"/>
                <w:kern w:val="0"/>
                <w:szCs w:val="21"/>
              </w:rPr>
              <w:t>0.05</w:t>
            </w:r>
          </w:p>
        </w:tc>
        <w:tc>
          <w:tcPr>
            <w:tcW w:w="3465" w:type="dxa"/>
          </w:tcPr>
          <w:p>
            <w:pPr>
              <w:widowControl/>
              <w:spacing w:line="480" w:lineRule="auto"/>
              <w:jc w:val="center"/>
              <w:rPr>
                <w:rFonts w:ascii="宋体" w:hAnsi="宋体" w:cs="宋体"/>
                <w:color w:val="000000"/>
                <w:kern w:val="0"/>
                <w:szCs w:val="21"/>
              </w:rPr>
            </w:pPr>
            <w:r>
              <w:rPr>
                <w:rFonts w:hint="eastAsia" w:ascii="宋体" w:hAnsi="宋体" w:cs="宋体"/>
                <w:color w:val="000000"/>
                <w:kern w:val="0"/>
                <w:szCs w:val="21"/>
              </w:rPr>
              <w:t>GB 5009.15、GB 5009.268</w:t>
            </w:r>
          </w:p>
        </w:tc>
      </w:tr>
    </w:tbl>
    <w:p>
      <w:pPr>
        <w:widowControl/>
        <w:jc w:val="center"/>
        <w:rPr>
          <w:rFonts w:ascii="宋体" w:hAnsi="宋体" w:cs="宋体"/>
          <w:b/>
          <w:bCs/>
          <w:color w:val="000000"/>
          <w:kern w:val="0"/>
          <w:szCs w:val="21"/>
        </w:rPr>
      </w:pPr>
    </w:p>
    <w:p>
      <w:pPr>
        <w:pStyle w:val="3"/>
        <w:jc w:val="center"/>
        <w:rPr>
          <w:rFonts w:ascii="宋体" w:hAnsi="宋体" w:cs="宋体"/>
          <w:b w:val="0"/>
          <w:bCs w:val="0"/>
          <w:color w:val="000000"/>
          <w:kern w:val="0"/>
          <w:szCs w:val="21"/>
        </w:rPr>
      </w:pPr>
      <w:r>
        <w:rPr>
          <w:rFonts w:ascii="宋体" w:hAnsi="宋体" w:cs="宋体"/>
          <w:b w:val="0"/>
          <w:bCs w:val="0"/>
          <w:color w:val="000000"/>
          <w:kern w:val="0"/>
          <w:szCs w:val="21"/>
        </w:rPr>
        <w:br w:type="page"/>
      </w:r>
      <w:bookmarkStart w:id="26" w:name="_Toc116331319"/>
      <w:r>
        <w:rPr>
          <w:rFonts w:hint="eastAsia" w:ascii="宋体" w:hAnsi="宋体" w:cs="宋体"/>
          <w:color w:val="000000"/>
          <w:kern w:val="0"/>
          <w:szCs w:val="21"/>
        </w:rPr>
        <w:t>附录B 枇杷中农药最大残留限量指标要求及检测方法</w:t>
      </w:r>
      <w:bookmarkEnd w:id="26"/>
    </w:p>
    <w:p>
      <w:pPr>
        <w:widowControl/>
        <w:jc w:val="center"/>
        <w:rPr>
          <w:rFonts w:ascii="宋体" w:hAnsi="宋体" w:cs="宋体"/>
          <w:b/>
          <w:bCs/>
          <w:color w:val="000000"/>
          <w:kern w:val="0"/>
          <w:szCs w:val="21"/>
        </w:rPr>
      </w:pPr>
    </w:p>
    <w:p>
      <w:pPr>
        <w:widowControl/>
        <w:jc w:val="center"/>
        <w:rPr>
          <w:rFonts w:ascii="宋体" w:hAnsi="宋体" w:cs="宋体"/>
          <w:b/>
          <w:bCs/>
          <w:color w:val="000000"/>
          <w:kern w:val="0"/>
          <w:szCs w:val="21"/>
        </w:rPr>
      </w:pPr>
    </w:p>
    <w:tbl>
      <w:tblPr>
        <w:tblStyle w:val="32"/>
        <w:tblW w:w="9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1"/>
        <w:gridCol w:w="2175"/>
        <w:gridCol w:w="2235"/>
        <w:gridCol w:w="1335"/>
        <w:gridCol w:w="30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blHeader/>
          <w:jc w:val="center"/>
        </w:trPr>
        <w:tc>
          <w:tcPr>
            <w:tcW w:w="751" w:type="dxa"/>
            <w:shd w:val="clear" w:color="auto" w:fill="auto"/>
            <w:noWrap/>
            <w:vAlign w:val="center"/>
          </w:tcPr>
          <w:p>
            <w:pPr>
              <w:widowControl/>
              <w:jc w:val="center"/>
              <w:textAlignment w:val="center"/>
              <w:rPr>
                <w:rFonts w:eastAsiaTheme="minorEastAsia"/>
                <w:color w:val="000000"/>
                <w:szCs w:val="21"/>
              </w:rPr>
            </w:pPr>
            <w:r>
              <w:rPr>
                <w:rFonts w:hAnsiTheme="minorEastAsia" w:eastAsiaTheme="minorEastAsia"/>
                <w:color w:val="000000"/>
                <w:kern w:val="0"/>
                <w:szCs w:val="21"/>
              </w:rPr>
              <w:t>序号</w:t>
            </w:r>
          </w:p>
        </w:tc>
        <w:tc>
          <w:tcPr>
            <w:tcW w:w="2175" w:type="dxa"/>
            <w:shd w:val="clear" w:color="auto" w:fill="auto"/>
            <w:noWrap/>
            <w:vAlign w:val="center"/>
          </w:tcPr>
          <w:p>
            <w:pPr>
              <w:widowControl/>
              <w:jc w:val="center"/>
              <w:textAlignment w:val="center"/>
              <w:rPr>
                <w:rFonts w:eastAsiaTheme="minorEastAsia"/>
                <w:color w:val="000000"/>
                <w:szCs w:val="21"/>
              </w:rPr>
            </w:pPr>
            <w:r>
              <w:rPr>
                <w:rFonts w:hAnsiTheme="minorEastAsia" w:eastAsiaTheme="minorEastAsia"/>
                <w:color w:val="000000"/>
                <w:kern w:val="0"/>
                <w:szCs w:val="21"/>
              </w:rPr>
              <w:t>农药名称</w:t>
            </w:r>
          </w:p>
        </w:tc>
        <w:tc>
          <w:tcPr>
            <w:tcW w:w="2235" w:type="dxa"/>
            <w:shd w:val="clear" w:color="auto" w:fill="auto"/>
            <w:vAlign w:val="center"/>
          </w:tcPr>
          <w:p>
            <w:pPr>
              <w:widowControl/>
              <w:jc w:val="center"/>
              <w:textAlignment w:val="center"/>
              <w:rPr>
                <w:rFonts w:eastAsiaTheme="minorEastAsia"/>
                <w:color w:val="000000"/>
                <w:szCs w:val="21"/>
              </w:rPr>
            </w:pPr>
            <w:r>
              <w:rPr>
                <w:rFonts w:hAnsiTheme="minorEastAsia" w:eastAsiaTheme="minorEastAsia"/>
                <w:color w:val="000000"/>
                <w:kern w:val="0"/>
                <w:szCs w:val="21"/>
              </w:rPr>
              <w:t>残留物</w:t>
            </w:r>
          </w:p>
        </w:tc>
        <w:tc>
          <w:tcPr>
            <w:tcW w:w="1335" w:type="dxa"/>
            <w:shd w:val="clear" w:color="auto" w:fill="auto"/>
            <w:vAlign w:val="center"/>
          </w:tcPr>
          <w:p>
            <w:pPr>
              <w:widowControl/>
              <w:jc w:val="center"/>
              <w:textAlignment w:val="center"/>
              <w:rPr>
                <w:rFonts w:eastAsiaTheme="minorEastAsia"/>
                <w:color w:val="000000"/>
                <w:szCs w:val="21"/>
              </w:rPr>
            </w:pPr>
            <w:r>
              <w:rPr>
                <w:rFonts w:hAnsiTheme="minorEastAsia" w:eastAsiaTheme="minorEastAsia"/>
                <w:color w:val="000000"/>
                <w:kern w:val="0"/>
                <w:szCs w:val="21"/>
              </w:rPr>
              <w:t>限量，</w:t>
            </w:r>
            <w:r>
              <w:rPr>
                <w:rFonts w:eastAsiaTheme="minorEastAsia"/>
                <w:color w:val="000000"/>
                <w:kern w:val="0"/>
                <w:szCs w:val="21"/>
              </w:rPr>
              <w:t>mg/kg</w:t>
            </w:r>
          </w:p>
        </w:tc>
        <w:tc>
          <w:tcPr>
            <w:tcW w:w="3029" w:type="dxa"/>
            <w:shd w:val="clear" w:color="auto" w:fill="auto"/>
            <w:vAlign w:val="center"/>
          </w:tcPr>
          <w:p>
            <w:pPr>
              <w:widowControl/>
              <w:jc w:val="center"/>
              <w:textAlignment w:val="center"/>
              <w:rPr>
                <w:rFonts w:eastAsiaTheme="minorEastAsia"/>
                <w:color w:val="000000"/>
                <w:szCs w:val="21"/>
              </w:rPr>
            </w:pPr>
            <w:r>
              <w:rPr>
                <w:rFonts w:hAnsiTheme="minorEastAsia" w:eastAsiaTheme="minorEastAsia"/>
                <w:color w:val="000000"/>
                <w:kern w:val="0"/>
                <w:szCs w:val="21"/>
              </w:rPr>
              <w:t>检测方法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szCs w:val="21"/>
              </w:rPr>
            </w:pPr>
            <w:r>
              <w:rPr>
                <w:rFonts w:eastAsiaTheme="minorEastAsia"/>
                <w:color w:val="000000" w:themeColor="text1"/>
                <w:kern w:val="0"/>
                <w:szCs w:val="21"/>
              </w:rPr>
              <w:t>1</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hAnsiTheme="minorEastAsia" w:eastAsiaTheme="minorEastAsia"/>
                <w:color w:val="000000" w:themeColor="text1"/>
                <w:kern w:val="0"/>
                <w:szCs w:val="21"/>
              </w:rPr>
              <w:t>苯丁锡</w:t>
            </w:r>
          </w:p>
          <w:p>
            <w:pPr>
              <w:widowControl/>
              <w:jc w:val="center"/>
              <w:textAlignment w:val="center"/>
              <w:rPr>
                <w:rFonts w:eastAsiaTheme="minorEastAsia"/>
                <w:color w:val="000000" w:themeColor="text1"/>
                <w:szCs w:val="21"/>
              </w:rPr>
            </w:pPr>
            <w:r>
              <w:rPr>
                <w:rFonts w:eastAsiaTheme="minorEastAsia"/>
                <w:color w:val="000000" w:themeColor="text1"/>
                <w:kern w:val="0"/>
                <w:szCs w:val="21"/>
              </w:rPr>
              <w:t>(fenbutatinoxide)</w:t>
            </w:r>
          </w:p>
        </w:tc>
        <w:tc>
          <w:tcPr>
            <w:tcW w:w="2235" w:type="dxa"/>
            <w:shd w:val="clear" w:color="auto" w:fill="auto"/>
            <w:vAlign w:val="center"/>
          </w:tcPr>
          <w:p>
            <w:pPr>
              <w:widowControl/>
              <w:jc w:val="center"/>
              <w:textAlignment w:val="center"/>
              <w:rPr>
                <w:rFonts w:eastAsiaTheme="minorEastAsia"/>
                <w:color w:val="000000" w:themeColor="text1"/>
                <w:szCs w:val="21"/>
              </w:rPr>
            </w:pPr>
            <w:r>
              <w:rPr>
                <w:rFonts w:hAnsiTheme="minorEastAsia" w:eastAsiaTheme="minorEastAsia"/>
                <w:color w:val="000000" w:themeColor="text1"/>
                <w:kern w:val="0"/>
                <w:szCs w:val="21"/>
              </w:rPr>
              <w:t>苯丁锡</w:t>
            </w:r>
          </w:p>
        </w:tc>
        <w:tc>
          <w:tcPr>
            <w:tcW w:w="1335" w:type="dxa"/>
            <w:shd w:val="clear" w:color="auto" w:fill="auto"/>
            <w:noWrap/>
            <w:vAlign w:val="center"/>
          </w:tcPr>
          <w:p>
            <w:pPr>
              <w:widowControl/>
              <w:jc w:val="center"/>
              <w:textAlignment w:val="center"/>
              <w:rPr>
                <w:rFonts w:eastAsiaTheme="minorEastAsia"/>
                <w:color w:val="000000" w:themeColor="text1"/>
                <w:szCs w:val="21"/>
              </w:rPr>
            </w:pPr>
            <w:r>
              <w:rPr>
                <w:rFonts w:eastAsiaTheme="minorEastAsia"/>
                <w:color w:val="000000" w:themeColor="text1"/>
                <w:kern w:val="0"/>
                <w:szCs w:val="21"/>
              </w:rPr>
              <w:t>5</w:t>
            </w:r>
          </w:p>
        </w:tc>
        <w:tc>
          <w:tcPr>
            <w:tcW w:w="3029" w:type="dxa"/>
            <w:shd w:val="clear" w:color="auto" w:fill="auto"/>
            <w:vAlign w:val="center"/>
          </w:tcPr>
          <w:p>
            <w:pPr>
              <w:widowControl/>
              <w:jc w:val="center"/>
              <w:textAlignment w:val="center"/>
              <w:rPr>
                <w:rFonts w:eastAsiaTheme="minorEastAsia"/>
                <w:color w:val="000000" w:themeColor="text1"/>
                <w:szCs w:val="21"/>
              </w:rPr>
            </w:pPr>
            <w:r>
              <w:rPr>
                <w:rFonts w:hAnsiTheme="minorEastAsia" w:eastAsiaTheme="minorEastAsia"/>
                <w:color w:val="000000" w:themeColor="text1"/>
                <w:kern w:val="0"/>
                <w:szCs w:val="21"/>
              </w:rPr>
              <w:t>参照</w:t>
            </w:r>
            <w:r>
              <w:rPr>
                <w:rFonts w:eastAsiaTheme="minorEastAsia"/>
                <w:color w:val="000000" w:themeColor="text1"/>
                <w:kern w:val="0"/>
                <w:szCs w:val="21"/>
              </w:rPr>
              <w:t>SN 0592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2</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苯醚甲环唑</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(difenoconazole)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苯醚甲环唑</w:t>
            </w:r>
          </w:p>
        </w:tc>
        <w:tc>
          <w:tcPr>
            <w:tcW w:w="1335"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0.5</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w:t>
            </w:r>
            <w:r>
              <w:rPr>
                <w:rFonts w:eastAsiaTheme="minorEastAsia"/>
                <w:color w:val="000000" w:themeColor="text1"/>
                <w:kern w:val="0"/>
                <w:szCs w:val="21"/>
              </w:rPr>
              <w:t>GB 23200.121，也可参照</w:t>
            </w:r>
            <w:r>
              <w:rPr>
                <w:rFonts w:eastAsiaTheme="minorEastAsia"/>
                <w:color w:val="000000" w:themeColor="text1"/>
                <w:kern w:val="0"/>
                <w:szCs w:val="21"/>
              </w:rPr>
              <w:t>GB 23200.8、</w:t>
            </w:r>
            <w:r>
              <w:rPr>
                <w:rFonts w:eastAsiaTheme="minorEastAsia"/>
                <w:color w:val="000000" w:themeColor="text1"/>
                <w:kern w:val="0"/>
                <w:szCs w:val="21"/>
              </w:rPr>
              <w:t>GB 23200.49、</w:t>
            </w:r>
            <w:r>
              <w:rPr>
                <w:rFonts w:eastAsiaTheme="minorEastAsia"/>
                <w:color w:val="000000" w:themeColor="text1"/>
                <w:kern w:val="0"/>
                <w:szCs w:val="21"/>
              </w:rPr>
              <w:t>GB/T 5009.218、</w:t>
            </w:r>
            <w:r>
              <w:rPr>
                <w:rFonts w:eastAsiaTheme="minorEastAsia"/>
                <w:color w:val="000000" w:themeColor="text1"/>
                <w:kern w:val="0"/>
                <w:szCs w:val="21"/>
              </w:rPr>
              <w:t>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3</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吡唑醚菌酯</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(pyraclostrobin）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吡唑醚菌酯</w:t>
            </w:r>
          </w:p>
        </w:tc>
        <w:tc>
          <w:tcPr>
            <w:tcW w:w="1335"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23200.121，也可参照</w:t>
            </w:r>
            <w:r>
              <w:rPr>
                <w:rFonts w:eastAsiaTheme="minorEastAsia"/>
                <w:color w:val="000000" w:themeColor="text1"/>
                <w:kern w:val="0"/>
                <w:szCs w:val="21"/>
              </w:rPr>
              <w:t>GB 23200.8、</w:t>
            </w:r>
            <w:r>
              <w:rPr>
                <w:rFonts w:eastAsiaTheme="minorEastAsia"/>
                <w:color w:val="000000" w:themeColor="text1"/>
                <w:kern w:val="0"/>
                <w:szCs w:val="21"/>
              </w:rPr>
              <w:t>GB 23200.54、</w:t>
            </w:r>
            <w:r>
              <w:rPr>
                <w:rFonts w:eastAsiaTheme="minorEastAsia"/>
                <w:color w:val="000000" w:themeColor="text1"/>
                <w:kern w:val="0"/>
                <w:szCs w:val="21"/>
              </w:rPr>
              <w:t>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4</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丙环唑</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(propiconazole）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丙环唑</w:t>
            </w:r>
          </w:p>
        </w:tc>
        <w:tc>
          <w:tcPr>
            <w:tcW w:w="1335"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w:t>
            </w:r>
            <w:r>
              <w:rPr>
                <w:rFonts w:eastAsiaTheme="minorEastAsia"/>
                <w:color w:val="000000" w:themeColor="text1"/>
                <w:kern w:val="0"/>
                <w:szCs w:val="21"/>
              </w:rPr>
              <w:t>GB 23200.121，也可参照</w:t>
            </w:r>
            <w:r>
              <w:rPr>
                <w:rFonts w:eastAsiaTheme="minorEastAsia"/>
                <w:color w:val="000000" w:themeColor="text1"/>
                <w:kern w:val="0"/>
                <w:szCs w:val="21"/>
              </w:rPr>
              <w:t>GB 23200.8、</w:t>
            </w:r>
            <w:r>
              <w:rPr>
                <w:rFonts w:eastAsiaTheme="minorEastAsia"/>
                <w:color w:val="000000" w:themeColor="text1"/>
                <w:kern w:val="0"/>
                <w:szCs w:val="21"/>
              </w:rPr>
              <w:t>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5</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丙森锌</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(propineb）</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二硫代氨基甲酸盐</w:t>
            </w:r>
            <w:r>
              <w:rPr>
                <w:rFonts w:eastAsiaTheme="minorEastAsia"/>
                <w:color w:val="000000" w:themeColor="text1"/>
                <w:kern w:val="0"/>
                <w:szCs w:val="21"/>
              </w:rPr>
              <w:t>(或酯</w:t>
            </w:r>
            <w:r>
              <w:rPr>
                <w:rFonts w:eastAsiaTheme="minorEastAsia"/>
                <w:color w:val="000000" w:themeColor="text1"/>
                <w:kern w:val="0"/>
                <w:szCs w:val="21"/>
              </w:rPr>
              <w:t>),以二硫化碳表示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5</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hint="default" w:eastAsiaTheme="minorEastAsia"/>
                <w:color w:val="000000" w:themeColor="text1"/>
                <w:kern w:val="0"/>
                <w:szCs w:val="21"/>
              </w:rPr>
              <w:t>参照SN 0157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6</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除虫脲</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(diflubenzuron）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除虫脲</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5</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w:t>
            </w:r>
            <w:r>
              <w:rPr>
                <w:rFonts w:eastAsiaTheme="minorEastAsia"/>
                <w:color w:val="000000" w:themeColor="text1"/>
                <w:kern w:val="0"/>
                <w:szCs w:val="21"/>
              </w:rPr>
              <w:t>GB/T 5009.147，也可参照</w:t>
            </w:r>
            <w:r>
              <w:rPr>
                <w:rFonts w:eastAsiaTheme="minorEastAsia"/>
                <w:color w:val="000000" w:themeColor="text1"/>
                <w:kern w:val="0"/>
                <w:szCs w:val="21"/>
              </w:rPr>
              <w:t>GB 23200.45、</w:t>
            </w:r>
            <w:r>
              <w:rPr>
                <w:rFonts w:eastAsiaTheme="minorEastAsia"/>
                <w:color w:val="000000" w:themeColor="text1"/>
                <w:kern w:val="0"/>
                <w:szCs w:val="21"/>
              </w:rPr>
              <w:t>NY/T 1720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7</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代森铵</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(amobam)</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二硫代氨基甲酸盐</w:t>
            </w:r>
            <w:r>
              <w:rPr>
                <w:rFonts w:eastAsiaTheme="minorEastAsia"/>
                <w:color w:val="000000" w:themeColor="text1"/>
                <w:kern w:val="0"/>
                <w:szCs w:val="21"/>
              </w:rPr>
              <w:t>(或酯</w:t>
            </w:r>
            <w:r>
              <w:rPr>
                <w:rFonts w:eastAsiaTheme="minorEastAsia"/>
                <w:color w:val="000000" w:themeColor="text1"/>
                <w:kern w:val="0"/>
                <w:szCs w:val="21"/>
              </w:rPr>
              <w:t>),以二硫化碳表示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5</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参照</w:t>
            </w:r>
            <w:r>
              <w:rPr>
                <w:rFonts w:eastAsiaTheme="minorEastAsia"/>
                <w:color w:val="000000" w:themeColor="text1"/>
                <w:kern w:val="0"/>
                <w:szCs w:val="21"/>
              </w:rPr>
              <w:t>SN 0157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8</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代森联</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(metiram)</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二硫代氨基甲酸盐</w:t>
            </w:r>
            <w:r>
              <w:rPr>
                <w:rFonts w:eastAsiaTheme="minorEastAsia"/>
                <w:color w:val="000000" w:themeColor="text1"/>
                <w:kern w:val="0"/>
                <w:szCs w:val="21"/>
              </w:rPr>
              <w:t>(或酯</w:t>
            </w:r>
            <w:r>
              <w:rPr>
                <w:rFonts w:eastAsiaTheme="minorEastAsia"/>
                <w:color w:val="000000" w:themeColor="text1"/>
                <w:kern w:val="0"/>
                <w:szCs w:val="21"/>
              </w:rPr>
              <w:t>),以二硫化碳表示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5</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参照</w:t>
            </w:r>
            <w:r>
              <w:rPr>
                <w:rFonts w:eastAsiaTheme="minorEastAsia"/>
                <w:color w:val="000000" w:themeColor="text1"/>
                <w:kern w:val="0"/>
                <w:szCs w:val="21"/>
              </w:rPr>
              <w:t>SN 0157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9</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代森锰锌</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(mancozeb）</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二硫代氨基甲酸盐</w:t>
            </w:r>
            <w:r>
              <w:rPr>
                <w:rFonts w:eastAsiaTheme="minorEastAsia"/>
                <w:color w:val="000000" w:themeColor="text1"/>
                <w:kern w:val="0"/>
                <w:szCs w:val="21"/>
              </w:rPr>
              <w:t>(或酯</w:t>
            </w:r>
            <w:r>
              <w:rPr>
                <w:rFonts w:eastAsiaTheme="minorEastAsia"/>
                <w:color w:val="000000" w:themeColor="text1"/>
                <w:kern w:val="0"/>
                <w:szCs w:val="21"/>
              </w:rPr>
              <w:t>),以二硫化碳表示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5</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参照</w:t>
            </w:r>
            <w:r>
              <w:rPr>
                <w:rFonts w:eastAsiaTheme="minorEastAsia"/>
                <w:color w:val="000000" w:themeColor="text1"/>
                <w:kern w:val="0"/>
                <w:szCs w:val="21"/>
              </w:rPr>
              <w:t>SN 0157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10</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毒死蜱</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(chlorpyrifos)</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毒死蜱</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23200.113、GB 23200.121、GB 23200.116、NY/T 761，也可参照GB 23200.8、GB/T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11</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多菌灵</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(carbendazim)</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多菌灵</w:t>
            </w:r>
          </w:p>
        </w:tc>
        <w:tc>
          <w:tcPr>
            <w:tcW w:w="1335"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23200.121、NY/T 1453、NY/T 1680，也可参照GB/T 20769、SN/T 0162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12</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福美双</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(thiram)</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二硫代氨基甲酸盐</w:t>
            </w:r>
            <w:r>
              <w:rPr>
                <w:rFonts w:eastAsiaTheme="minorEastAsia"/>
                <w:color w:val="000000" w:themeColor="text1"/>
                <w:kern w:val="0"/>
                <w:szCs w:val="21"/>
              </w:rPr>
              <w:t>(或酯</w:t>
            </w:r>
            <w:r>
              <w:rPr>
                <w:rFonts w:eastAsiaTheme="minorEastAsia"/>
                <w:color w:val="000000" w:themeColor="text1"/>
                <w:kern w:val="0"/>
                <w:szCs w:val="21"/>
              </w:rPr>
              <w:t>),以二硫化碳表示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5</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参照</w:t>
            </w:r>
            <w:r>
              <w:rPr>
                <w:rFonts w:eastAsiaTheme="minorEastAsia"/>
                <w:color w:val="000000" w:themeColor="text1"/>
                <w:kern w:val="0"/>
                <w:szCs w:val="21"/>
              </w:rPr>
              <w:t>SN 0157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13</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福美锌</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(ziram)</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二硫代氨基甲酸盐</w:t>
            </w:r>
            <w:r>
              <w:rPr>
                <w:rFonts w:eastAsiaTheme="minorEastAsia"/>
                <w:color w:val="000000" w:themeColor="text1"/>
                <w:kern w:val="0"/>
                <w:szCs w:val="21"/>
              </w:rPr>
              <w:t>(或酯</w:t>
            </w:r>
            <w:r>
              <w:rPr>
                <w:rFonts w:eastAsiaTheme="minorEastAsia"/>
                <w:color w:val="000000" w:themeColor="text1"/>
                <w:kern w:val="0"/>
                <w:szCs w:val="21"/>
              </w:rPr>
              <w:t>),以二硫化碳表示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5</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参照</w:t>
            </w:r>
            <w:r>
              <w:rPr>
                <w:rFonts w:eastAsiaTheme="minorEastAsia"/>
                <w:color w:val="000000" w:themeColor="text1"/>
                <w:kern w:val="0"/>
                <w:szCs w:val="21"/>
              </w:rPr>
              <w:t xml:space="preserve"> SN 0157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14</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甲氨基阿维菌素苯甲酸盐</w:t>
            </w:r>
            <w:r>
              <w:rPr>
                <w:rFonts w:eastAsiaTheme="minorEastAsia"/>
                <w:color w:val="000000" w:themeColor="text1"/>
                <w:kern w:val="0"/>
                <w:szCs w:val="21"/>
              </w:rPr>
              <w:t>(emamectinbenzoate)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甲氨基阿维菌素苯甲酸盐</w:t>
            </w:r>
            <w:r>
              <w:rPr>
                <w:rFonts w:eastAsiaTheme="minorEastAsia"/>
                <w:color w:val="000000" w:themeColor="text1"/>
                <w:kern w:val="0"/>
                <w:szCs w:val="21"/>
              </w:rPr>
              <w:t xml:space="preserve"> B１</w:t>
            </w:r>
            <w:r>
              <w:rPr>
                <w:rFonts w:eastAsiaTheme="minorEastAsia"/>
                <w:color w:val="000000" w:themeColor="text1"/>
                <w:kern w:val="0"/>
                <w:szCs w:val="21"/>
              </w:rPr>
              <w:t>a</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0.05</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23200.121，也可参照</w:t>
            </w:r>
            <w:r>
              <w:rPr>
                <w:rFonts w:eastAsiaTheme="minorEastAsia"/>
                <w:color w:val="000000" w:themeColor="text1"/>
                <w:kern w:val="0"/>
                <w:szCs w:val="21"/>
              </w:rPr>
              <w:t>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15</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甲氰菊酯</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(fenpropathrin)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甲氰菊酯</w:t>
            </w:r>
          </w:p>
        </w:tc>
        <w:tc>
          <w:tcPr>
            <w:tcW w:w="1335"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23200.113、GB 23200.121、NY/T 761，也可参照GB 23200.8、SN/T 0217、GB/T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16</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腈菌唑</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(myclobutanil)</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腈菌唑</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0.5</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23200.113、GB 23200.121、NY/T 1455 ，也可参照GB 23200.8、GB/T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17</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克菌丹</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(captan)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克菌丹</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15</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参照</w:t>
            </w:r>
            <w:r>
              <w:rPr>
                <w:rFonts w:eastAsiaTheme="minorEastAsia"/>
                <w:color w:val="000000" w:themeColor="text1"/>
                <w:kern w:val="0"/>
                <w:szCs w:val="21"/>
              </w:rPr>
              <w:t>GB 23200.8、</w:t>
            </w:r>
            <w:r>
              <w:rPr>
                <w:rFonts w:eastAsiaTheme="minorEastAsia"/>
                <w:color w:val="000000" w:themeColor="text1"/>
                <w:kern w:val="0"/>
                <w:szCs w:val="21"/>
              </w:rPr>
              <w:t>SN/T 0654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18</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氯苯嘧啶醇</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(fenarimol)</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氯苯嘧啶醇</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0.3</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w:t>
            </w:r>
            <w:r>
              <w:rPr>
                <w:rFonts w:eastAsiaTheme="minorEastAsia"/>
                <w:color w:val="000000" w:themeColor="text1"/>
                <w:kern w:val="0"/>
                <w:szCs w:val="21"/>
              </w:rPr>
              <w:t>GB 23200.121，也可参照</w:t>
            </w:r>
            <w:r>
              <w:rPr>
                <w:rFonts w:eastAsiaTheme="minorEastAsia"/>
                <w:color w:val="000000" w:themeColor="text1"/>
                <w:kern w:val="0"/>
                <w:szCs w:val="21"/>
              </w:rPr>
              <w:t>GB 23200.8、</w:t>
            </w:r>
            <w:r>
              <w:rPr>
                <w:rFonts w:eastAsiaTheme="minorEastAsia"/>
                <w:color w:val="000000" w:themeColor="text1"/>
                <w:kern w:val="0"/>
                <w:szCs w:val="21"/>
              </w:rPr>
              <w:t>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19</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氯吡脲</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(forchlorfenuron）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氯吡脲</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0.05</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23200.110、</w:t>
            </w:r>
            <w:r>
              <w:rPr>
                <w:rFonts w:eastAsiaTheme="minorEastAsia"/>
                <w:color w:val="000000" w:themeColor="text1"/>
                <w:kern w:val="0"/>
                <w:szCs w:val="21"/>
              </w:rPr>
              <w:t>GB 23200.121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20</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氯氟氰菊酯和高效氯氟氰菊酯</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(cyhalothrin and lambda-cyhalothrin)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氯氟氰菊酯</w:t>
            </w:r>
            <w:r>
              <w:rPr>
                <w:rFonts w:eastAsiaTheme="minorEastAsia"/>
                <w:color w:val="000000" w:themeColor="text1"/>
                <w:kern w:val="0"/>
                <w:szCs w:val="21"/>
              </w:rPr>
              <w:t>(异构体之和</w:t>
            </w:r>
            <w:r>
              <w:rPr>
                <w:rFonts w:eastAsiaTheme="minorEastAsia"/>
                <w:color w:val="000000" w:themeColor="text1"/>
                <w:kern w:val="0"/>
                <w:szCs w:val="21"/>
              </w:rPr>
              <w:t>)</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23200.113、NY/T 761，也可参照GB 23200.8、SN/T 0217、GB/T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21</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醚菌酯</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(kresoxim-methyl)</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醚菌酯</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w:t>
            </w:r>
            <w:r>
              <w:rPr>
                <w:rFonts w:eastAsiaTheme="minorEastAsia"/>
                <w:color w:val="000000" w:themeColor="text1"/>
                <w:kern w:val="0"/>
                <w:szCs w:val="21"/>
              </w:rPr>
              <w:t>GB 23200.121，也可参照</w:t>
            </w:r>
            <w:r>
              <w:rPr>
                <w:rFonts w:eastAsiaTheme="minorEastAsia"/>
                <w:color w:val="000000" w:themeColor="text1"/>
                <w:kern w:val="0"/>
                <w:szCs w:val="21"/>
              </w:rPr>
              <w:t>GB 23200.8、</w:t>
            </w:r>
            <w:r>
              <w:rPr>
                <w:rFonts w:eastAsiaTheme="minorEastAsia"/>
                <w:color w:val="000000" w:themeColor="text1"/>
                <w:kern w:val="0"/>
                <w:szCs w:val="21"/>
              </w:rPr>
              <w:t>GB 23200.54、</w:t>
            </w:r>
            <w:r>
              <w:rPr>
                <w:rFonts w:eastAsiaTheme="minorEastAsia"/>
                <w:color w:val="000000" w:themeColor="text1"/>
                <w:kern w:val="0"/>
                <w:szCs w:val="21"/>
              </w:rPr>
              <w:t>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22</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嘧菌环胺</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(cyprodinil)</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嘧菌环胺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23200.113、GB 23200.121，也可参照GB 23200.8、GB/T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23</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嘧菌酯</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(azoxystrobin)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嘧菌酯</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w:t>
            </w:r>
            <w:r>
              <w:rPr>
                <w:rFonts w:eastAsiaTheme="minorEastAsia"/>
                <w:color w:val="000000" w:themeColor="text1"/>
                <w:kern w:val="0"/>
                <w:szCs w:val="21"/>
              </w:rPr>
              <w:t>NY/T 1453，也可参照</w:t>
            </w:r>
            <w:r>
              <w:rPr>
                <w:rFonts w:eastAsiaTheme="minorEastAsia"/>
                <w:color w:val="000000" w:themeColor="text1"/>
                <w:kern w:val="0"/>
                <w:szCs w:val="21"/>
              </w:rPr>
              <w:t>GB 23200.46、</w:t>
            </w:r>
            <w:r>
              <w:rPr>
                <w:rFonts w:eastAsiaTheme="minorEastAsia"/>
                <w:color w:val="000000" w:themeColor="text1"/>
                <w:kern w:val="0"/>
                <w:szCs w:val="21"/>
              </w:rPr>
              <w:t>GB 23200.54、</w:t>
            </w:r>
            <w:r>
              <w:rPr>
                <w:rFonts w:eastAsiaTheme="minorEastAsia"/>
                <w:color w:val="000000" w:themeColor="text1"/>
                <w:kern w:val="0"/>
                <w:szCs w:val="21"/>
              </w:rPr>
              <w:t>SN/T 1976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24</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噻虫嗪</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(thiamethoxam)</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噻虫嗪</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0.3</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23200.121，也可参照</w:t>
            </w:r>
            <w:r>
              <w:rPr>
                <w:rFonts w:eastAsiaTheme="minorEastAsia"/>
                <w:color w:val="000000" w:themeColor="text1"/>
                <w:kern w:val="0"/>
                <w:szCs w:val="21"/>
              </w:rPr>
              <w:t>GB 23200.8、</w:t>
            </w:r>
            <w:r>
              <w:rPr>
                <w:rFonts w:eastAsiaTheme="minorEastAsia"/>
                <w:color w:val="000000" w:themeColor="text1"/>
                <w:kern w:val="0"/>
                <w:szCs w:val="21"/>
              </w:rPr>
              <w:t>GB 23200.39、</w:t>
            </w:r>
            <w:r>
              <w:rPr>
                <w:rFonts w:eastAsiaTheme="minorEastAsia"/>
                <w:color w:val="000000" w:themeColor="text1"/>
                <w:kern w:val="0"/>
                <w:szCs w:val="21"/>
              </w:rPr>
              <w:t>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25</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双甲脒</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(amitraz)</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双甲脒及</w:t>
            </w:r>
            <w:r>
              <w:rPr>
                <w:rFonts w:eastAsiaTheme="minorEastAsia"/>
                <w:color w:val="000000" w:themeColor="text1"/>
                <w:kern w:val="0"/>
                <w:szCs w:val="21"/>
              </w:rPr>
              <w:t xml:space="preserve"> N-(2,4-二甲苯基</w:t>
            </w:r>
            <w:r>
              <w:rPr>
                <w:rFonts w:eastAsiaTheme="minorEastAsia"/>
                <w:color w:val="000000" w:themeColor="text1"/>
                <w:kern w:val="0"/>
                <w:szCs w:val="21"/>
              </w:rPr>
              <w:t>)-N′-甲基甲脒之和</w:t>
            </w:r>
            <w:r>
              <w:rPr>
                <w:rFonts w:eastAsiaTheme="minorEastAsia"/>
                <w:color w:val="000000" w:themeColor="text1"/>
                <w:kern w:val="0"/>
                <w:szCs w:val="21"/>
              </w:rPr>
              <w:t>,以双甲脒表示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0.5</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GB/T 5009.143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26</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四螨嗪</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(clofentezine)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四螨嗪</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0.5</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23200.121，也可参照</w:t>
            </w:r>
            <w:r>
              <w:rPr>
                <w:rFonts w:eastAsiaTheme="minorEastAsia"/>
                <w:color w:val="000000" w:themeColor="text1"/>
                <w:kern w:val="0"/>
                <w:szCs w:val="21"/>
              </w:rPr>
              <w:t>GB 23200.47、</w:t>
            </w:r>
            <w:r>
              <w:rPr>
                <w:rFonts w:eastAsiaTheme="minorEastAsia"/>
                <w:color w:val="000000" w:themeColor="text1"/>
                <w:kern w:val="0"/>
                <w:szCs w:val="21"/>
              </w:rPr>
              <w:t>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27</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肟菌酯</w:t>
            </w:r>
            <w:r>
              <w:rPr>
                <w:rFonts w:eastAsiaTheme="minorEastAsia"/>
                <w:color w:val="000000" w:themeColor="text1"/>
                <w:kern w:val="0"/>
                <w:szCs w:val="21"/>
              </w:rPr>
              <w:t>(trifloxystrobin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肟菌酯</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0.7</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w:t>
            </w:r>
            <w:r>
              <w:rPr>
                <w:rFonts w:eastAsiaTheme="minorEastAsia"/>
                <w:color w:val="000000" w:themeColor="text1"/>
                <w:kern w:val="0"/>
                <w:szCs w:val="21"/>
              </w:rPr>
              <w:t>GB 23200.121，也可参照</w:t>
            </w:r>
            <w:r>
              <w:rPr>
                <w:rFonts w:eastAsiaTheme="minorEastAsia"/>
                <w:color w:val="000000" w:themeColor="text1"/>
                <w:kern w:val="0"/>
                <w:szCs w:val="21"/>
              </w:rPr>
              <w:t>GB 23200.8、</w:t>
            </w:r>
            <w:r>
              <w:rPr>
                <w:rFonts w:eastAsiaTheme="minorEastAsia"/>
                <w:color w:val="000000" w:themeColor="text1"/>
                <w:kern w:val="0"/>
                <w:szCs w:val="21"/>
              </w:rPr>
              <w:t>GB 23200.54、</w:t>
            </w:r>
            <w:r>
              <w:rPr>
                <w:rFonts w:eastAsiaTheme="minorEastAsia"/>
                <w:color w:val="000000" w:themeColor="text1"/>
                <w:kern w:val="0"/>
                <w:szCs w:val="21"/>
              </w:rPr>
              <w:t>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28</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戊唑醇</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(tebuconazole)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戊唑醇</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w:t>
            </w:r>
            <w:r>
              <w:rPr>
                <w:rFonts w:eastAsiaTheme="minorEastAsia"/>
                <w:color w:val="000000" w:themeColor="text1"/>
                <w:kern w:val="0"/>
                <w:szCs w:val="21"/>
              </w:rPr>
              <w:t>GB 23200.121，也可参照</w:t>
            </w:r>
            <w:r>
              <w:rPr>
                <w:rFonts w:eastAsiaTheme="minorEastAsia"/>
                <w:color w:val="000000" w:themeColor="text1"/>
                <w:kern w:val="0"/>
                <w:szCs w:val="21"/>
              </w:rPr>
              <w:t>GB 23200.8、</w:t>
            </w:r>
            <w:r>
              <w:rPr>
                <w:rFonts w:eastAsiaTheme="minorEastAsia"/>
                <w:color w:val="000000" w:themeColor="text1"/>
                <w:kern w:val="0"/>
                <w:szCs w:val="21"/>
              </w:rPr>
              <w:t>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29</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辛硫磷</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(phoxim)</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辛硫磷</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0.05</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w:t>
            </w:r>
            <w:r>
              <w:rPr>
                <w:rFonts w:eastAsiaTheme="minorEastAsia"/>
                <w:color w:val="000000" w:themeColor="text1"/>
                <w:kern w:val="0"/>
                <w:szCs w:val="21"/>
              </w:rPr>
              <w:t>GB/T 5009.102，也可参照</w:t>
            </w:r>
            <w:r>
              <w:rPr>
                <w:rFonts w:eastAsiaTheme="minorEastAsia"/>
                <w:color w:val="000000" w:themeColor="text1"/>
                <w:kern w:val="0"/>
                <w:szCs w:val="21"/>
              </w:rPr>
              <w:t>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30</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溴螨酯</w:t>
            </w:r>
            <w:r>
              <w:rPr>
                <w:rFonts w:eastAsiaTheme="minorEastAsia"/>
                <w:color w:val="000000" w:themeColor="text1"/>
                <w:kern w:val="0"/>
                <w:szCs w:val="21"/>
              </w:rPr>
              <w:t>(bromopropylate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溴螨酯</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23200.113，也可参照GB 23200.8、GB/T 5009.218、SN/T 0192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31</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异菌脲</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(iprodione)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异菌脲</w:t>
            </w:r>
          </w:p>
        </w:tc>
        <w:tc>
          <w:tcPr>
            <w:tcW w:w="1335"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3</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23200.113、GB 23200.121、NY/T 761，也可参照GB 23200.8、GB/T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32</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抑霉唑</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(imazalil)</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抑霉唑</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5</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w:t>
            </w:r>
            <w:r>
              <w:rPr>
                <w:rFonts w:eastAsiaTheme="minorEastAsia"/>
                <w:color w:val="000000" w:themeColor="text1"/>
                <w:kern w:val="0"/>
                <w:szCs w:val="21"/>
              </w:rPr>
              <w:t>GB 23200.121，也可参照</w:t>
            </w:r>
            <w:r>
              <w:rPr>
                <w:rFonts w:eastAsiaTheme="minorEastAsia"/>
                <w:color w:val="000000" w:themeColor="text1"/>
                <w:kern w:val="0"/>
                <w:szCs w:val="21"/>
              </w:rPr>
              <w:t>GB 23200.8、</w:t>
            </w:r>
            <w:r>
              <w:rPr>
                <w:rFonts w:eastAsiaTheme="minorEastAsia"/>
                <w:color w:val="000000" w:themeColor="text1"/>
                <w:kern w:val="0"/>
                <w:szCs w:val="21"/>
              </w:rPr>
              <w:t>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33</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唑螨酯</w:t>
            </w:r>
            <w:r>
              <w:rPr>
                <w:rFonts w:eastAsiaTheme="minorEastAsia"/>
                <w:color w:val="000000" w:themeColor="text1"/>
                <w:kern w:val="0"/>
                <w:szCs w:val="21"/>
              </w:rPr>
              <w:t>(fenpyroximate)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唑螨酯</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0.3</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23200.121，也可参照</w:t>
            </w:r>
            <w:r>
              <w:rPr>
                <w:rFonts w:eastAsiaTheme="minorEastAsia"/>
                <w:color w:val="000000" w:themeColor="text1"/>
                <w:kern w:val="0"/>
                <w:szCs w:val="21"/>
              </w:rPr>
              <w:t>GB 23200.8、</w:t>
            </w:r>
            <w:r>
              <w:rPr>
                <w:rFonts w:eastAsiaTheme="minorEastAsia"/>
                <w:color w:val="000000" w:themeColor="text1"/>
                <w:kern w:val="0"/>
                <w:szCs w:val="21"/>
              </w:rPr>
              <w:t>GB 23200.29、</w:t>
            </w:r>
            <w:r>
              <w:rPr>
                <w:rFonts w:eastAsiaTheme="minorEastAsia"/>
                <w:color w:val="000000" w:themeColor="text1"/>
                <w:kern w:val="0"/>
                <w:szCs w:val="21"/>
              </w:rPr>
              <w:t>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34</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2,4-滴和</w:t>
            </w:r>
            <w:r>
              <w:rPr>
                <w:rFonts w:eastAsiaTheme="minorEastAsia"/>
                <w:color w:val="000000" w:themeColor="text1"/>
                <w:kern w:val="0"/>
                <w:szCs w:val="21"/>
              </w:rPr>
              <w:t>2,4-滴钠盐</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(2,4-D and2,4-D，</w:t>
            </w:r>
            <w:r>
              <w:rPr>
                <w:rFonts w:eastAsiaTheme="minorEastAsia"/>
                <w:color w:val="000000" w:themeColor="text1"/>
                <w:kern w:val="0"/>
                <w:szCs w:val="21"/>
              </w:rPr>
              <w:t>Na)</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2,4-滴</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参照</w:t>
            </w:r>
            <w:r>
              <w:rPr>
                <w:rFonts w:eastAsiaTheme="minorEastAsia"/>
                <w:color w:val="000000" w:themeColor="text1"/>
                <w:kern w:val="0"/>
                <w:szCs w:val="21"/>
              </w:rPr>
              <w:t>GB/T 5009.175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35</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胺苯磺隆</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(ethametsulfuron)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胺苯磺隆</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参照</w:t>
            </w:r>
            <w:r>
              <w:rPr>
                <w:rFonts w:eastAsiaTheme="minorEastAsia"/>
                <w:color w:val="000000" w:themeColor="text1"/>
                <w:kern w:val="0"/>
                <w:szCs w:val="21"/>
              </w:rPr>
              <w:t xml:space="preserve"> SN/T 2325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36</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巴毒磷</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(crotoxyphos)</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巴毒磷</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0.02a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37</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百草枯</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(paraquat)</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百草枯阳离子</w:t>
            </w:r>
            <w:r>
              <w:rPr>
                <w:rFonts w:eastAsiaTheme="minorEastAsia"/>
                <w:color w:val="000000" w:themeColor="text1"/>
                <w:kern w:val="0"/>
                <w:szCs w:val="21"/>
              </w:rPr>
              <w:t>,以二氯百草枯表示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38</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倍硫磷</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(fenthion）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倍硫磷及其氧类似物</w:t>
            </w:r>
            <w:r>
              <w:rPr>
                <w:rFonts w:eastAsiaTheme="minorEastAsia"/>
                <w:color w:val="000000" w:themeColor="text1"/>
                <w:kern w:val="0"/>
                <w:szCs w:val="21"/>
              </w:rPr>
              <w:t>(亚砜、砜化合物</w:t>
            </w:r>
            <w:r>
              <w:rPr>
                <w:rFonts w:eastAsiaTheme="minorEastAsia"/>
                <w:color w:val="000000" w:themeColor="text1"/>
                <w:kern w:val="0"/>
                <w:szCs w:val="21"/>
              </w:rPr>
              <w:t>)之和</w:t>
            </w:r>
            <w:r>
              <w:rPr>
                <w:rFonts w:eastAsiaTheme="minorEastAsia"/>
                <w:color w:val="000000" w:themeColor="text1"/>
                <w:kern w:val="0"/>
                <w:szCs w:val="21"/>
              </w:rPr>
              <w:t>,以倍硫磷表示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0.05</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w:t>
            </w:r>
            <w:r>
              <w:rPr>
                <w:rFonts w:eastAsiaTheme="minorEastAsia"/>
                <w:color w:val="000000" w:themeColor="text1"/>
                <w:kern w:val="0"/>
                <w:szCs w:val="21"/>
              </w:rPr>
              <w:t>GB 23200.121，也可参照</w:t>
            </w:r>
            <w:r>
              <w:rPr>
                <w:rFonts w:eastAsiaTheme="minorEastAsia"/>
                <w:color w:val="000000" w:themeColor="text1"/>
                <w:kern w:val="0"/>
                <w:szCs w:val="21"/>
              </w:rPr>
              <w:t>GB 23200.8、</w:t>
            </w:r>
            <w:r>
              <w:rPr>
                <w:rFonts w:eastAsiaTheme="minorEastAsia"/>
                <w:color w:val="000000" w:themeColor="text1"/>
                <w:kern w:val="0"/>
                <w:szCs w:val="21"/>
              </w:rPr>
              <w:t>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39</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苯并烯氟菌唑</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(benzovindiflupyr</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苯并烯氟菌唑</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0.2a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40</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苯菌酮</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(metrafenone)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苯菌酮</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41</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苯嘧磺草胺</w:t>
            </w:r>
            <w:r>
              <w:rPr>
                <w:rFonts w:eastAsiaTheme="minorEastAsia"/>
                <w:color w:val="000000" w:themeColor="text1"/>
                <w:kern w:val="0"/>
                <w:szCs w:val="21"/>
              </w:rPr>
              <w:t>(saflufenacil</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苯嘧磺草胺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42</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苯线磷</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(fenamiphos)</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苯线磷及其氧类似物</w:t>
            </w:r>
            <w:r>
              <w:rPr>
                <w:rFonts w:eastAsiaTheme="minorEastAsia"/>
                <w:color w:val="000000" w:themeColor="text1"/>
                <w:kern w:val="0"/>
                <w:szCs w:val="21"/>
              </w:rPr>
              <w:t>(亚砜、砜化合物</w:t>
            </w:r>
            <w:r>
              <w:rPr>
                <w:rFonts w:eastAsiaTheme="minorEastAsia"/>
                <w:color w:val="000000" w:themeColor="text1"/>
                <w:kern w:val="0"/>
                <w:szCs w:val="21"/>
              </w:rPr>
              <w:t>)之和</w:t>
            </w:r>
            <w:r>
              <w:rPr>
                <w:rFonts w:eastAsiaTheme="minorEastAsia"/>
                <w:color w:val="000000" w:themeColor="text1"/>
                <w:kern w:val="0"/>
                <w:szCs w:val="21"/>
              </w:rPr>
              <w:t>,以苯线磷表示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23200.121，也可参照</w:t>
            </w:r>
            <w:r>
              <w:rPr>
                <w:rFonts w:eastAsiaTheme="minorEastAsia"/>
                <w:color w:val="000000" w:themeColor="text1"/>
                <w:kern w:val="0"/>
                <w:szCs w:val="21"/>
              </w:rPr>
              <w:t>GB 23200.8、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43</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吡氟禾草灵和精吡氟禾草灵</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(fluazifop and fluazifop-P-butyl)</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吡氟禾草灵和吡氟禾草酸之和</w:t>
            </w:r>
            <w:r>
              <w:rPr>
                <w:rFonts w:eastAsiaTheme="minorEastAsia"/>
                <w:color w:val="000000" w:themeColor="text1"/>
                <w:kern w:val="0"/>
                <w:szCs w:val="21"/>
              </w:rPr>
              <w:t>,以吡氟禾草酸表示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参照</w:t>
            </w:r>
            <w:r>
              <w:rPr>
                <w:rFonts w:eastAsiaTheme="minorEastAsia"/>
                <w:color w:val="000000" w:themeColor="text1"/>
                <w:kern w:val="0"/>
                <w:szCs w:val="21"/>
              </w:rPr>
              <w:t>GB/T 5009.142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44</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吡噻菌胺</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(penthiopyrad)</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吡噻菌胺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0.4a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45</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丙炔氟草胺</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(flumioxazin）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丙炔氟草胺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参照</w:t>
            </w:r>
            <w:r>
              <w:rPr>
                <w:rFonts w:eastAsiaTheme="minorEastAsia"/>
                <w:color w:val="000000" w:themeColor="text1"/>
                <w:kern w:val="0"/>
                <w:szCs w:val="21"/>
              </w:rPr>
              <w:t>GB 23200.8、</w:t>
            </w:r>
            <w:r>
              <w:rPr>
                <w:rFonts w:eastAsiaTheme="minorEastAsia"/>
                <w:color w:val="000000" w:themeColor="text1"/>
                <w:kern w:val="0"/>
                <w:szCs w:val="21"/>
              </w:rPr>
              <w:t>GB 23200.31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46</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丙酯杀螨醇</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(chloropropylate）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丙酯杀螨醇</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0.02a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参照</w:t>
            </w:r>
            <w:r>
              <w:rPr>
                <w:rFonts w:eastAsiaTheme="minorEastAsia"/>
                <w:color w:val="000000" w:themeColor="text1"/>
                <w:kern w:val="0"/>
                <w:szCs w:val="21"/>
              </w:rPr>
              <w:t>GB 23200.8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47</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草铵膦</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(glufosinate-ammonium)</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草铵膦</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48</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草甘膦</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(glyphosate）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草甘膦</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GB/T 23750、</w:t>
            </w:r>
            <w:r>
              <w:rPr>
                <w:rFonts w:eastAsiaTheme="minorEastAsia"/>
                <w:color w:val="000000" w:themeColor="text1"/>
                <w:kern w:val="0"/>
                <w:szCs w:val="21"/>
              </w:rPr>
              <w:t>NY/T 1096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49</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草枯醚</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(chlornitrofen)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草枯醚</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50</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草芽畏</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(2,3,6-TBA)</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草芽畏</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51</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虫酰肼</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(tebufenozide)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虫酰肼</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23200.121，也可参照</w:t>
            </w:r>
            <w:r>
              <w:rPr>
                <w:rFonts w:eastAsiaTheme="minorEastAsia"/>
                <w:color w:val="000000" w:themeColor="text1"/>
                <w:kern w:val="0"/>
                <w:szCs w:val="21"/>
              </w:rPr>
              <w:t>GB/T 5009.218、</w:t>
            </w:r>
            <w:r>
              <w:rPr>
                <w:rFonts w:eastAsiaTheme="minorEastAsia"/>
                <w:color w:val="000000" w:themeColor="text1"/>
                <w:kern w:val="0"/>
                <w:szCs w:val="21"/>
              </w:rPr>
              <w:t>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52</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敌百虫</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(trichlorfon)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敌百虫</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w:t>
            </w:r>
            <w:r>
              <w:rPr>
                <w:rFonts w:eastAsiaTheme="minorEastAsia"/>
                <w:color w:val="000000" w:themeColor="text1"/>
                <w:kern w:val="0"/>
                <w:szCs w:val="21"/>
              </w:rPr>
              <w:t>NY/T 761，也可参照</w:t>
            </w:r>
            <w:r>
              <w:rPr>
                <w:rFonts w:eastAsiaTheme="minorEastAsia"/>
                <w:color w:val="000000" w:themeColor="text1"/>
                <w:kern w:val="0"/>
                <w:szCs w:val="21"/>
              </w:rPr>
              <w:t>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53</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敌草快</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(diquat）</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敌草快阳离子</w:t>
            </w:r>
            <w:r>
              <w:rPr>
                <w:rFonts w:eastAsiaTheme="minorEastAsia"/>
                <w:color w:val="000000" w:themeColor="text1"/>
                <w:kern w:val="0"/>
                <w:szCs w:val="21"/>
              </w:rPr>
              <w:t>,以二溴化合物表示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参照</w:t>
            </w:r>
            <w:r>
              <w:rPr>
                <w:rFonts w:eastAsiaTheme="minorEastAsia"/>
                <w:color w:val="000000" w:themeColor="text1"/>
                <w:kern w:val="0"/>
                <w:szCs w:val="21"/>
              </w:rPr>
              <w:t>SN/T 0293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54</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敌敌畏</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(dichlorvos)</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敌敌畏</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w:t>
            </w:r>
            <w:r>
              <w:rPr>
                <w:rFonts w:eastAsiaTheme="minorEastAsia"/>
                <w:color w:val="000000" w:themeColor="text1"/>
                <w:kern w:val="0"/>
                <w:szCs w:val="21"/>
              </w:rPr>
              <w:t>GB 23200.121、</w:t>
            </w:r>
            <w:r>
              <w:rPr>
                <w:rFonts w:eastAsiaTheme="minorEastAsia"/>
                <w:color w:val="000000" w:themeColor="text1"/>
                <w:kern w:val="0"/>
                <w:szCs w:val="21"/>
              </w:rPr>
              <w:t>NY/T 761，也可参照</w:t>
            </w:r>
            <w:r>
              <w:rPr>
                <w:rFonts w:eastAsiaTheme="minorEastAsia"/>
                <w:color w:val="000000" w:themeColor="text1"/>
                <w:kern w:val="0"/>
                <w:szCs w:val="21"/>
              </w:rPr>
              <w:t>GB 23200.8、</w:t>
            </w:r>
            <w:r>
              <w:rPr>
                <w:rFonts w:eastAsiaTheme="minorEastAsia"/>
                <w:color w:val="000000" w:themeColor="text1"/>
                <w:kern w:val="0"/>
                <w:szCs w:val="21"/>
              </w:rPr>
              <w:t>GB/T 5009.20、</w:t>
            </w:r>
            <w:r>
              <w:rPr>
                <w:rFonts w:eastAsiaTheme="minorEastAsia"/>
                <w:color w:val="000000" w:themeColor="text1"/>
                <w:kern w:val="0"/>
                <w:szCs w:val="21"/>
              </w:rPr>
              <w:t>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55</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地虫硫磷</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(fonofos)</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地虫硫磷</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23200.113、GB 23200.121，也可参照GB 23200.8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56</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丁氟螨酯</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(cyflumetofen)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丁氟螨酯</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0.4</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57</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丁硫克百威</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(carbosulfan)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丁硫克百威</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参照</w:t>
            </w:r>
            <w:r>
              <w:rPr>
                <w:rFonts w:eastAsiaTheme="minorEastAsia"/>
                <w:color w:val="000000" w:themeColor="text1"/>
                <w:kern w:val="0"/>
                <w:szCs w:val="21"/>
              </w:rPr>
              <w:t>GB 23200.13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58</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啶虫脒</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(acetamiprid)</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啶虫脒</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 GB/T 23584，也可参照GB 23200.50、GB/T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59</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毒虫畏</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(chlorfenvinphos）</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毒虫畏</w:t>
            </w:r>
            <w:r>
              <w:rPr>
                <w:rFonts w:eastAsiaTheme="minorEastAsia"/>
                <w:color w:val="000000" w:themeColor="text1"/>
                <w:kern w:val="0"/>
                <w:szCs w:val="21"/>
              </w:rPr>
              <w:t>(E型和</w:t>
            </w:r>
            <w:r>
              <w:rPr>
                <w:rFonts w:eastAsiaTheme="minorEastAsia"/>
                <w:color w:val="000000" w:themeColor="text1"/>
                <w:kern w:val="0"/>
                <w:szCs w:val="21"/>
              </w:rPr>
              <w:t>Z型异构体之和</w:t>
            </w:r>
            <w:r>
              <w:rPr>
                <w:rFonts w:eastAsiaTheme="minorEastAsia"/>
                <w:color w:val="000000" w:themeColor="text1"/>
                <w:kern w:val="0"/>
                <w:szCs w:val="21"/>
              </w:rPr>
              <w:t>)</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23200.121、也可参照GB/T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60</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毒菌酚</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(hexachlorophene)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毒菌酚</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61</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对硫磷</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(parathion)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对硫磷</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w:t>
            </w:r>
            <w:r>
              <w:rPr>
                <w:rFonts w:eastAsiaTheme="minorEastAsia"/>
                <w:color w:val="000000" w:themeColor="text1"/>
                <w:kern w:val="0"/>
                <w:szCs w:val="21"/>
              </w:rPr>
              <w:t>GB 23200.121、</w:t>
            </w:r>
            <w:r>
              <w:rPr>
                <w:rFonts w:eastAsiaTheme="minorEastAsia"/>
                <w:color w:val="000000" w:themeColor="text1"/>
                <w:kern w:val="0"/>
                <w:szCs w:val="21"/>
              </w:rPr>
              <w:t>GB/T 5009.20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62</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多果定</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(dodine）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多果定</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5a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63</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二嗪磷</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(diazinon）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二嗪磷</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0.3</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23200.113、GB 23200.121、GB/T 5009.20、GB/T 5009.107、NY/T 761，也可参照GB 23200.8、GB/T 207697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64</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 xml:space="preserve"> 二氰蒽醌</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(dithianon）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二氰蒽醌</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65</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二溴磷</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(naled)</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二溴磷</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66</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粉唑醇</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(flutriafol)</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粉唑醇</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0.3</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23200.121，也可参照</w:t>
            </w:r>
            <w:r>
              <w:rPr>
                <w:rFonts w:eastAsiaTheme="minorEastAsia"/>
                <w:color w:val="000000" w:themeColor="text1"/>
                <w:kern w:val="0"/>
                <w:szCs w:val="21"/>
              </w:rPr>
              <w:t>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67</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伏杀硫磷</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(phosalone)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伏杀硫磷</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w:t>
            </w:r>
            <w:r>
              <w:rPr>
                <w:rFonts w:eastAsiaTheme="minorEastAsia"/>
                <w:color w:val="000000" w:themeColor="text1"/>
                <w:kern w:val="0"/>
                <w:szCs w:val="21"/>
              </w:rPr>
              <w:t>GB 23200.121、</w:t>
            </w:r>
            <w:r>
              <w:rPr>
                <w:rFonts w:eastAsiaTheme="minorEastAsia"/>
                <w:color w:val="000000" w:themeColor="text1"/>
                <w:kern w:val="0"/>
                <w:szCs w:val="21"/>
              </w:rPr>
              <w:t>NY/T 761，也可参照</w:t>
            </w:r>
            <w:r>
              <w:rPr>
                <w:rFonts w:eastAsiaTheme="minorEastAsia"/>
                <w:color w:val="000000" w:themeColor="text1"/>
                <w:kern w:val="0"/>
                <w:szCs w:val="21"/>
              </w:rPr>
              <w:t>GB 23200.8、</w:t>
            </w:r>
            <w:r>
              <w:rPr>
                <w:rFonts w:eastAsiaTheme="minorEastAsia"/>
                <w:color w:val="000000" w:themeColor="text1"/>
                <w:kern w:val="0"/>
                <w:szCs w:val="21"/>
              </w:rPr>
              <w:t>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68</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氟苯虫酰胺</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(flubendiamide)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氟苯虫酰胺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0.8a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23200.121，也可参照</w:t>
            </w:r>
            <w:r>
              <w:rPr>
                <w:rFonts w:eastAsiaTheme="minorEastAsia"/>
                <w:color w:val="000000" w:themeColor="text1"/>
                <w:kern w:val="0"/>
                <w:szCs w:val="21"/>
              </w:rPr>
              <w:t>GB 23200.76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69</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氟苯脲</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(teflubenzuron)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氟苯脲</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23200.121、NY/T 1453，也可参照NY/T 1720、SN/T 4591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70</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氟吡呋喃酮</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(flupyradifurone)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氟吡呋喃酮</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0.9a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71</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氟吡甲禾灵和高效氟吡甲禾灵</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(haloxyfop-methyl and haloxyfop-P-methyl)</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氟吡甲禾灵、氟吡禾灵及其共轭物之和</w:t>
            </w:r>
            <w:r>
              <w:rPr>
                <w:rFonts w:eastAsiaTheme="minorEastAsia"/>
                <w:color w:val="000000" w:themeColor="text1"/>
                <w:kern w:val="0"/>
                <w:szCs w:val="21"/>
              </w:rPr>
              <w:t>,以氟吡甲禾灵表示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0.02a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72</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氟吡菌酰胺</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(fluopyram)</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氟吡菌酰胺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0.5a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73</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氟虫腈</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(fipronil)</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氟虫腈、氟甲腈、氟虫腈砜、氟虫腈硫醚之和</w:t>
            </w:r>
            <w:r>
              <w:rPr>
                <w:rFonts w:eastAsiaTheme="minorEastAsia"/>
                <w:color w:val="000000" w:themeColor="text1"/>
                <w:kern w:val="0"/>
                <w:szCs w:val="21"/>
              </w:rPr>
              <w:t>,以氟虫腈表示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74</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氟除草醚</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(fluoronitrofen）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氟除草醚</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75</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氟啶虫胺腈</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(sulfoxaflor)</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氟啶虫胺腈</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0.3a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76</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 xml:space="preserve"> 氟啶虫酰胺</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(flonicamid)</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氟啶虫酰胺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0.8</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23200.121，也可参照</w:t>
            </w:r>
            <w:r>
              <w:rPr>
                <w:rFonts w:eastAsiaTheme="minorEastAsia"/>
                <w:color w:val="000000" w:themeColor="text1"/>
                <w:kern w:val="0"/>
                <w:szCs w:val="21"/>
              </w:rPr>
              <w:t>GB 23200.75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77</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氟硅唑</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(flusilazole)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氟硅唑</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0.3</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23200.113、GB 23200.121，也可参照GB 23200.8、GB 23200.53、GB/T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78</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氟酰脲</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(novaluron)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氟酰脲</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3</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79</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氟唑菌酰胺</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(fluxapyroxad）</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氟唑菌酰胺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0.9a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80</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咯菌腈</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(fludioxonil)</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咯菌腈</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5</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w:t>
            </w:r>
            <w:r>
              <w:rPr>
                <w:rFonts w:eastAsiaTheme="minorEastAsia"/>
                <w:color w:val="000000" w:themeColor="text1"/>
                <w:kern w:val="0"/>
                <w:szCs w:val="21"/>
              </w:rPr>
              <w:t>GB 23200.121，也可参照</w:t>
            </w:r>
            <w:r>
              <w:rPr>
                <w:rFonts w:eastAsiaTheme="minorEastAsia"/>
                <w:color w:val="000000" w:themeColor="text1"/>
                <w:kern w:val="0"/>
                <w:szCs w:val="21"/>
              </w:rPr>
              <w:t>GB 23200.8、</w:t>
            </w:r>
            <w:r>
              <w:rPr>
                <w:rFonts w:eastAsiaTheme="minorEastAsia"/>
                <w:color w:val="000000" w:themeColor="text1"/>
                <w:kern w:val="0"/>
                <w:szCs w:val="21"/>
              </w:rPr>
              <w:t>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81</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格螨酯</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(2,4-dichlorophenyl benzenesulfonate)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格螨酯</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82</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庚烯磷</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(heptenophos)</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庚烯磷</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23200.121，也可参照</w:t>
            </w:r>
            <w:r>
              <w:rPr>
                <w:rFonts w:eastAsiaTheme="minorEastAsia"/>
                <w:color w:val="000000" w:themeColor="text1"/>
                <w:kern w:val="0"/>
                <w:szCs w:val="21"/>
              </w:rPr>
              <w:t>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83</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环螨酯</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(cycloprate）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环螨酯</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84</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甲胺磷</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(methamidophos）</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甲胺磷</w:t>
            </w:r>
          </w:p>
        </w:tc>
        <w:tc>
          <w:tcPr>
            <w:tcW w:w="1335"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w:t>
            </w:r>
            <w:r>
              <w:rPr>
                <w:rFonts w:eastAsiaTheme="minorEastAsia"/>
                <w:color w:val="000000" w:themeColor="text1"/>
                <w:kern w:val="0"/>
                <w:szCs w:val="21"/>
              </w:rPr>
              <w:t>GB 23200.121、</w:t>
            </w:r>
            <w:r>
              <w:rPr>
                <w:rFonts w:eastAsiaTheme="minorEastAsia"/>
                <w:color w:val="000000" w:themeColor="text1"/>
                <w:kern w:val="0"/>
                <w:szCs w:val="21"/>
              </w:rPr>
              <w:t>NY/T 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6"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85</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甲拌磷</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(phorate)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甲拌磷及其氧类似物</w:t>
            </w:r>
            <w:r>
              <w:rPr>
                <w:rFonts w:eastAsiaTheme="minorEastAsia"/>
                <w:color w:val="000000" w:themeColor="text1"/>
                <w:kern w:val="0"/>
                <w:szCs w:val="21"/>
              </w:rPr>
              <w:t>(亚砜、砜</w:t>
            </w:r>
            <w:r>
              <w:rPr>
                <w:rFonts w:eastAsiaTheme="minorEastAsia"/>
                <w:color w:val="000000" w:themeColor="text1"/>
                <w:kern w:val="0"/>
                <w:szCs w:val="21"/>
              </w:rPr>
              <w:t>)之和</w:t>
            </w:r>
            <w:r>
              <w:rPr>
                <w:rFonts w:eastAsiaTheme="minorEastAsia"/>
                <w:color w:val="000000" w:themeColor="text1"/>
                <w:kern w:val="0"/>
                <w:szCs w:val="21"/>
              </w:rPr>
              <w:t>,以甲拌磷表示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23200.113、GB 23200.116、GB 23200.121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86</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甲苯氟磺胺</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(tolylfluanid)</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甲苯氟磺胺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5</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参照</w:t>
            </w:r>
            <w:r>
              <w:rPr>
                <w:rFonts w:eastAsiaTheme="minorEastAsia"/>
                <w:color w:val="000000" w:themeColor="text1"/>
                <w:kern w:val="0"/>
                <w:szCs w:val="21"/>
              </w:rPr>
              <w:t>GB 23200.8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87</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甲磺隆</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(metsulfuron-methyl)</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甲磺隆</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23200.121、也可参照</w:t>
            </w:r>
            <w:r>
              <w:rPr>
                <w:rFonts w:eastAsiaTheme="minorEastAsia"/>
                <w:color w:val="000000" w:themeColor="text1"/>
                <w:kern w:val="0"/>
                <w:szCs w:val="21"/>
              </w:rPr>
              <w:t>SN/T 2325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88</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甲基对硫磷</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(parathion-methyl)</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甲基对硫磷</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w:t>
            </w:r>
            <w:r>
              <w:rPr>
                <w:rFonts w:eastAsiaTheme="minorEastAsia"/>
                <w:color w:val="000000" w:themeColor="text1"/>
                <w:kern w:val="0"/>
                <w:szCs w:val="21"/>
              </w:rPr>
              <w:t>GB/T 14553，</w:t>
            </w:r>
            <w:r>
              <w:rPr>
                <w:rFonts w:eastAsiaTheme="minorEastAsia"/>
                <w:color w:val="000000" w:themeColor="text1"/>
                <w:kern w:val="0"/>
                <w:szCs w:val="21"/>
              </w:rPr>
              <w:t>NY/T 761、</w:t>
            </w:r>
            <w:r>
              <w:rPr>
                <w:rFonts w:eastAsiaTheme="minorEastAsia"/>
                <w:color w:val="000000" w:themeColor="text1"/>
                <w:kern w:val="0"/>
                <w:szCs w:val="21"/>
              </w:rPr>
              <w:t>GB/T 5009.20、也可参照</w:t>
            </w:r>
            <w:r>
              <w:rPr>
                <w:rFonts w:eastAsiaTheme="minorEastAsia"/>
                <w:color w:val="000000" w:themeColor="text1"/>
                <w:kern w:val="0"/>
                <w:szCs w:val="21"/>
              </w:rPr>
              <w:t>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89</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甲基硫环磷</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(phosfolan-methy）</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甲基硫环磷</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0.03a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w:t>
            </w:r>
            <w:r>
              <w:rPr>
                <w:rFonts w:eastAsiaTheme="minorEastAsia"/>
                <w:color w:val="000000" w:themeColor="text1"/>
                <w:kern w:val="0"/>
                <w:szCs w:val="21"/>
              </w:rPr>
              <w:t xml:space="preserve"> NY/T 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90</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甲基异柳磷</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(isofenphos-methyl)</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甲基异柳磷</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23200.113、GB 23200.116、GB 23200.121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91</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甲霜灵和精甲霜灵</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(metalaxyl and metalaxyl-M)</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甲霜灵</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23200.113，也可参照</w:t>
            </w:r>
            <w:r>
              <w:rPr>
                <w:rFonts w:eastAsiaTheme="minorEastAsia"/>
                <w:color w:val="000000" w:themeColor="text1"/>
                <w:kern w:val="0"/>
                <w:szCs w:val="21"/>
              </w:rPr>
              <w:t>GB 23200.8、</w:t>
            </w:r>
            <w:r>
              <w:rPr>
                <w:rFonts w:eastAsiaTheme="minorEastAsia"/>
                <w:color w:val="000000" w:themeColor="text1"/>
                <w:kern w:val="0"/>
                <w:szCs w:val="21"/>
              </w:rPr>
              <w:t>GB/T 20769、</w:t>
            </w:r>
            <w:r>
              <w:rPr>
                <w:rFonts w:eastAsiaTheme="minorEastAsia"/>
                <w:color w:val="000000" w:themeColor="text1"/>
                <w:kern w:val="0"/>
                <w:szCs w:val="21"/>
              </w:rPr>
              <w:t>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92</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甲氧虫酰肼</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(methoxyfenozide）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甲氧虫酰肼</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23200.121，也可参照</w:t>
            </w:r>
            <w:r>
              <w:rPr>
                <w:rFonts w:eastAsiaTheme="minorEastAsia"/>
                <w:color w:val="000000" w:themeColor="text1"/>
                <w:kern w:val="0"/>
                <w:szCs w:val="21"/>
              </w:rPr>
              <w:t>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93</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甲氧滴滴涕</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(methoxychlor)</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甲氧滴滴涕</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94</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腈苯唑</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(fenbuconazole）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腈苯唑</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w:t>
            </w:r>
            <w:r>
              <w:rPr>
                <w:rFonts w:eastAsiaTheme="minorEastAsia"/>
                <w:color w:val="000000" w:themeColor="text1"/>
                <w:kern w:val="0"/>
                <w:szCs w:val="21"/>
              </w:rPr>
              <w:t>GB 23200.121，也可参照</w:t>
            </w:r>
            <w:r>
              <w:rPr>
                <w:rFonts w:eastAsiaTheme="minorEastAsia"/>
                <w:color w:val="000000" w:themeColor="text1"/>
                <w:kern w:val="0"/>
                <w:szCs w:val="21"/>
              </w:rPr>
              <w:t>GB 23200.8、</w:t>
            </w:r>
            <w:r>
              <w:rPr>
                <w:rFonts w:eastAsiaTheme="minorEastAsia"/>
                <w:color w:val="000000" w:themeColor="text1"/>
                <w:kern w:val="0"/>
                <w:szCs w:val="21"/>
              </w:rPr>
              <w:t>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95</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久效磷</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(monocrotophos)</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久效磷</w:t>
            </w:r>
          </w:p>
        </w:tc>
        <w:tc>
          <w:tcPr>
            <w:tcW w:w="1335"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0.03</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w:t>
            </w:r>
            <w:r>
              <w:rPr>
                <w:rFonts w:eastAsiaTheme="minorEastAsia"/>
                <w:color w:val="000000" w:themeColor="text1"/>
                <w:kern w:val="0"/>
                <w:szCs w:val="21"/>
              </w:rPr>
              <w:t>GB 23200.121、</w:t>
            </w:r>
            <w:r>
              <w:rPr>
                <w:rFonts w:eastAsiaTheme="minorEastAsia"/>
                <w:color w:val="000000" w:themeColor="text1"/>
                <w:kern w:val="0"/>
                <w:szCs w:val="21"/>
              </w:rPr>
              <w:t>GB/T 5009.20、</w:t>
            </w:r>
            <w:r>
              <w:rPr>
                <w:rFonts w:eastAsiaTheme="minorEastAsia"/>
                <w:color w:val="000000" w:themeColor="text1"/>
                <w:kern w:val="0"/>
                <w:szCs w:val="21"/>
              </w:rPr>
              <w:t>NY/T 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96</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抗蚜威</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(pirimicarb)</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抗蚜威</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23200.113、GB 23200.121，也可参照GB 23200.8、GB/T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97</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克百威</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(carbofuran)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克百威及</w:t>
            </w:r>
            <w:r>
              <w:rPr>
                <w:rFonts w:eastAsiaTheme="minorEastAsia"/>
                <w:color w:val="000000" w:themeColor="text1"/>
                <w:kern w:val="0"/>
                <w:szCs w:val="21"/>
              </w:rPr>
              <w:t>3-羟基克百威之和</w:t>
            </w:r>
            <w:r>
              <w:rPr>
                <w:rFonts w:eastAsiaTheme="minorEastAsia"/>
                <w:color w:val="000000" w:themeColor="text1"/>
                <w:kern w:val="0"/>
                <w:szCs w:val="21"/>
              </w:rPr>
              <w:t>,以克百威表示</w:t>
            </w:r>
          </w:p>
        </w:tc>
        <w:tc>
          <w:tcPr>
            <w:tcW w:w="1335"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23200.112、</w:t>
            </w:r>
            <w:r>
              <w:rPr>
                <w:rFonts w:eastAsiaTheme="minorEastAsia"/>
                <w:color w:val="000000" w:themeColor="text1"/>
                <w:kern w:val="0"/>
                <w:szCs w:val="21"/>
              </w:rPr>
              <w:t>GB 23200.121、</w:t>
            </w:r>
            <w:r>
              <w:rPr>
                <w:rFonts w:eastAsiaTheme="minorEastAsia"/>
                <w:color w:val="000000" w:themeColor="text1"/>
                <w:kern w:val="0"/>
                <w:szCs w:val="21"/>
              </w:rPr>
              <w:t>NY/T 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98</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乐果</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(dimethoate)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乐果</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23200.113、GB 23200.116、GB 23200.121、GB/T 5009.20、NY/T 761，也可参照GB/T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99</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乐杀螨</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(binapacryl)</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乐杀螨</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0.05a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参照</w:t>
            </w:r>
            <w:r>
              <w:rPr>
                <w:rFonts w:eastAsiaTheme="minorEastAsia"/>
                <w:color w:val="000000" w:themeColor="text1"/>
                <w:kern w:val="0"/>
                <w:szCs w:val="21"/>
              </w:rPr>
              <w:t>SN 0523、</w:t>
            </w:r>
            <w:r>
              <w:rPr>
                <w:rFonts w:eastAsiaTheme="minorEastAsia"/>
                <w:color w:val="000000" w:themeColor="text1"/>
                <w:kern w:val="0"/>
                <w:szCs w:val="21"/>
              </w:rPr>
              <w:t>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100</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联苯肼酯</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(bifenazate）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联苯肼酯</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0.7</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参照</w:t>
            </w:r>
            <w:r>
              <w:rPr>
                <w:rFonts w:eastAsiaTheme="minorEastAsia"/>
                <w:color w:val="000000" w:themeColor="text1"/>
                <w:kern w:val="0"/>
                <w:szCs w:val="21"/>
              </w:rPr>
              <w:t>GB 23200.8、</w:t>
            </w:r>
            <w:r>
              <w:rPr>
                <w:rFonts w:eastAsiaTheme="minorEastAsia"/>
                <w:color w:val="000000" w:themeColor="text1"/>
                <w:kern w:val="0"/>
                <w:szCs w:val="21"/>
              </w:rPr>
              <w:t>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101</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联苯三唑醇</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(bitertanol)</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联苯三唑醇</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23200.121，也可参照</w:t>
            </w:r>
            <w:r>
              <w:rPr>
                <w:rFonts w:eastAsiaTheme="minorEastAsia"/>
                <w:color w:val="000000" w:themeColor="text1"/>
                <w:kern w:val="0"/>
                <w:szCs w:val="21"/>
              </w:rPr>
              <w:t>GB 23200.8、</w:t>
            </w:r>
            <w:r>
              <w:rPr>
                <w:rFonts w:eastAsiaTheme="minorEastAsia"/>
                <w:color w:val="000000" w:themeColor="text1"/>
                <w:kern w:val="0"/>
                <w:szCs w:val="21"/>
              </w:rPr>
              <w:t>GB/T 20769、</w:t>
            </w:r>
            <w:r>
              <w:rPr>
                <w:rFonts w:eastAsiaTheme="minorEastAsia"/>
                <w:color w:val="000000" w:themeColor="text1"/>
                <w:kern w:val="0"/>
                <w:szCs w:val="21"/>
              </w:rPr>
              <w:t>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102</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磷胺</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(phosphamidon)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磷胺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0.05</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w:t>
            </w:r>
            <w:r>
              <w:rPr>
                <w:rFonts w:eastAsiaTheme="minorEastAsia"/>
                <w:color w:val="000000" w:themeColor="text1"/>
                <w:kern w:val="0"/>
                <w:szCs w:val="21"/>
              </w:rPr>
              <w:t>GB 23200.121、</w:t>
            </w:r>
            <w:r>
              <w:rPr>
                <w:rFonts w:eastAsiaTheme="minorEastAsia"/>
                <w:color w:val="000000" w:themeColor="text1"/>
                <w:kern w:val="0"/>
                <w:szCs w:val="21"/>
              </w:rPr>
              <w:t>NY/T 761，也可参照</w:t>
            </w:r>
            <w:r>
              <w:rPr>
                <w:rFonts w:eastAsiaTheme="minorEastAsia"/>
                <w:color w:val="000000" w:themeColor="text1"/>
                <w:kern w:val="0"/>
                <w:szCs w:val="21"/>
              </w:rPr>
              <w:t>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103</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硫丹</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(endosulfan)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α-硫丹和</w:t>
            </w:r>
            <w:r>
              <w:rPr>
                <w:rFonts w:eastAsiaTheme="minorEastAsia"/>
                <w:color w:val="000000" w:themeColor="text1"/>
                <w:kern w:val="0"/>
                <w:szCs w:val="21"/>
              </w:rPr>
              <w:t>β-硫丹及硫丹硫酸酯之和</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0.05</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GB/T 5009.19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104</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硫环磷</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(phosfolan）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硫环磷</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0.03</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w:t>
            </w:r>
            <w:r>
              <w:rPr>
                <w:rFonts w:eastAsiaTheme="minorEastAsia"/>
                <w:color w:val="000000" w:themeColor="text1"/>
                <w:kern w:val="0"/>
                <w:szCs w:val="21"/>
              </w:rPr>
              <w:t>GB 23200.121、</w:t>
            </w:r>
            <w:r>
              <w:rPr>
                <w:rFonts w:eastAsiaTheme="minorEastAsia"/>
                <w:color w:val="000000" w:themeColor="text1"/>
                <w:kern w:val="0"/>
                <w:szCs w:val="21"/>
              </w:rPr>
              <w:t>NY/T 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105</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硫线磷</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(cadusafos）</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硫线磷</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23200.121，也可参照</w:t>
            </w:r>
            <w:r>
              <w:rPr>
                <w:rFonts w:eastAsiaTheme="minorEastAsia"/>
                <w:color w:val="000000" w:themeColor="text1"/>
                <w:kern w:val="0"/>
                <w:szCs w:val="21"/>
              </w:rPr>
              <w:t>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106</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螺虫乙酯</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(spirotetramat)</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螺虫乙酯及其代谢物顺式</w:t>
            </w:r>
            <w:r>
              <w:rPr>
                <w:rFonts w:eastAsiaTheme="minorEastAsia"/>
                <w:color w:val="000000" w:themeColor="text1"/>
                <w:kern w:val="0"/>
                <w:szCs w:val="21"/>
              </w:rPr>
              <w:t>-3-(2,5，</w:t>
            </w:r>
            <w:r>
              <w:rPr>
                <w:rFonts w:eastAsiaTheme="minorEastAsia"/>
                <w:color w:val="000000" w:themeColor="text1"/>
                <w:kern w:val="0"/>
                <w:szCs w:val="21"/>
              </w:rPr>
              <w:t>-二甲基苯基</w:t>
            </w:r>
            <w:r>
              <w:rPr>
                <w:rFonts w:eastAsiaTheme="minorEastAsia"/>
                <w:color w:val="000000" w:themeColor="text1"/>
                <w:kern w:val="0"/>
                <w:szCs w:val="21"/>
              </w:rPr>
              <w:t>)-4-羰基</w:t>
            </w:r>
            <w:r>
              <w:rPr>
                <w:rFonts w:eastAsiaTheme="minorEastAsia"/>
                <w:color w:val="000000" w:themeColor="text1"/>
                <w:kern w:val="0"/>
                <w:szCs w:val="21"/>
              </w:rPr>
              <w:t>-8-甲氧基</w:t>
            </w:r>
            <w:r>
              <w:rPr>
                <w:rFonts w:eastAsiaTheme="minorEastAsia"/>
                <w:color w:val="000000" w:themeColor="text1"/>
                <w:kern w:val="0"/>
                <w:szCs w:val="21"/>
              </w:rPr>
              <w:t>-1-氮杂螺</w:t>
            </w:r>
            <w:r>
              <w:rPr>
                <w:rFonts w:eastAsiaTheme="minorEastAsia"/>
                <w:color w:val="000000" w:themeColor="text1"/>
                <w:kern w:val="0"/>
                <w:szCs w:val="21"/>
              </w:rPr>
              <w:t>[4,5]癸</w:t>
            </w:r>
            <w:r>
              <w:rPr>
                <w:rFonts w:eastAsiaTheme="minorEastAsia"/>
                <w:color w:val="000000" w:themeColor="text1"/>
                <w:kern w:val="0"/>
                <w:szCs w:val="21"/>
              </w:rPr>
              <w:t>-3- 烯</w:t>
            </w:r>
            <w:r>
              <w:rPr>
                <w:rFonts w:eastAsiaTheme="minorEastAsia"/>
                <w:color w:val="000000" w:themeColor="text1"/>
                <w:kern w:val="0"/>
                <w:szCs w:val="21"/>
              </w:rPr>
              <w:t>-2-酮之和</w:t>
            </w:r>
            <w:r>
              <w:rPr>
                <w:rFonts w:eastAsiaTheme="minorEastAsia"/>
                <w:color w:val="000000" w:themeColor="text1"/>
                <w:kern w:val="0"/>
                <w:szCs w:val="21"/>
              </w:rPr>
              <w:t>,以螺虫乙酯表示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0.7a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107</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螺螨酯</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(spirodiclofen)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螺螨酯</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0.8</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23200.121，也可参照</w:t>
            </w:r>
            <w:r>
              <w:rPr>
                <w:rFonts w:eastAsiaTheme="minorEastAsia"/>
                <w:color w:val="000000" w:themeColor="text1"/>
                <w:kern w:val="0"/>
                <w:szCs w:val="21"/>
              </w:rPr>
              <w:t>GB 23200.8、</w:t>
            </w:r>
            <w:r>
              <w:rPr>
                <w:rFonts w:eastAsiaTheme="minorEastAsia"/>
                <w:color w:val="000000" w:themeColor="text1"/>
                <w:kern w:val="0"/>
                <w:szCs w:val="21"/>
              </w:rPr>
              <w:t>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108</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氯苯甲醚</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(chloroneb)</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氯苯甲醚</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109</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氯虫苯甲酰胺</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(chlorantraniliprole)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氯虫苯甲酰胺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0.4a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110</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氯磺隆</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(chlorsulfuron）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氯磺隆</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23200.121，也可参照</w:t>
            </w:r>
            <w:r>
              <w:rPr>
                <w:rFonts w:eastAsiaTheme="minorEastAsia"/>
                <w:color w:val="000000" w:themeColor="text1"/>
                <w:kern w:val="0"/>
                <w:szCs w:val="21"/>
              </w:rPr>
              <w:t>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111</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氯菊酯</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(permethrin)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氯菊酯</w:t>
            </w:r>
            <w:r>
              <w:rPr>
                <w:rFonts w:eastAsiaTheme="minorEastAsia"/>
                <w:color w:val="000000" w:themeColor="text1"/>
                <w:kern w:val="0"/>
                <w:szCs w:val="21"/>
              </w:rPr>
              <w:t>(异构体之和</w:t>
            </w:r>
            <w:r>
              <w:rPr>
                <w:rFonts w:eastAsiaTheme="minorEastAsia"/>
                <w:color w:val="000000" w:themeColor="text1"/>
                <w:kern w:val="0"/>
                <w:szCs w:val="21"/>
              </w:rPr>
              <w:t>)</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w:t>
            </w:r>
            <w:r>
              <w:rPr>
                <w:rFonts w:eastAsiaTheme="minorEastAsia"/>
                <w:color w:val="000000" w:themeColor="text1"/>
                <w:kern w:val="0"/>
                <w:szCs w:val="21"/>
              </w:rPr>
              <w:t>GB 23200.121、</w:t>
            </w:r>
            <w:r>
              <w:rPr>
                <w:rFonts w:eastAsiaTheme="minorEastAsia"/>
                <w:color w:val="000000" w:themeColor="text1"/>
                <w:kern w:val="0"/>
                <w:szCs w:val="21"/>
              </w:rPr>
              <w:t>NY/T 761，也可参照</w:t>
            </w:r>
            <w:r>
              <w:rPr>
                <w:rFonts w:eastAsiaTheme="minorEastAsia"/>
                <w:color w:val="000000" w:themeColor="text1"/>
                <w:kern w:val="0"/>
                <w:szCs w:val="21"/>
              </w:rPr>
              <w:t>GB 23200.8、</w:t>
            </w:r>
            <w:r>
              <w:rPr>
                <w:rFonts w:eastAsiaTheme="minorEastAsia"/>
                <w:color w:val="000000" w:themeColor="text1"/>
                <w:kern w:val="0"/>
                <w:szCs w:val="21"/>
              </w:rPr>
              <w:t>SN/T 0217、</w:t>
            </w:r>
            <w:r>
              <w:rPr>
                <w:rFonts w:eastAsiaTheme="minorEastAsia"/>
                <w:color w:val="000000" w:themeColor="text1"/>
                <w:kern w:val="0"/>
                <w:szCs w:val="21"/>
              </w:rPr>
              <w:t>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112</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氯氰菊酯和高效氯氰菊酯</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(cypermethrin and beta-cypermethrin)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氯氰菊酯</w:t>
            </w:r>
            <w:r>
              <w:rPr>
                <w:rFonts w:eastAsiaTheme="minorEastAsia"/>
                <w:color w:val="000000" w:themeColor="text1"/>
                <w:kern w:val="0"/>
                <w:szCs w:val="21"/>
              </w:rPr>
              <w:t>(异构体之和</w:t>
            </w:r>
            <w:r>
              <w:rPr>
                <w:rFonts w:eastAsiaTheme="minorEastAsia"/>
                <w:color w:val="000000" w:themeColor="text1"/>
                <w:kern w:val="0"/>
                <w:szCs w:val="21"/>
              </w:rPr>
              <w:t>)</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0.7</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w:t>
            </w:r>
            <w:r>
              <w:rPr>
                <w:rFonts w:eastAsiaTheme="minorEastAsia"/>
                <w:color w:val="000000" w:themeColor="text1"/>
                <w:kern w:val="0"/>
                <w:szCs w:val="21"/>
              </w:rPr>
              <w:t>NY/T 761，也可参照</w:t>
            </w:r>
            <w:r>
              <w:rPr>
                <w:rFonts w:eastAsiaTheme="minorEastAsia"/>
                <w:color w:val="000000" w:themeColor="text1"/>
                <w:kern w:val="0"/>
                <w:szCs w:val="21"/>
              </w:rPr>
              <w:t>GB 23200.8、</w:t>
            </w:r>
            <w:r>
              <w:rPr>
                <w:rFonts w:eastAsiaTheme="minorEastAsia"/>
                <w:color w:val="000000" w:themeColor="text1"/>
                <w:kern w:val="0"/>
                <w:szCs w:val="21"/>
              </w:rPr>
              <w:t>SN/T 0217、</w:t>
            </w:r>
            <w:r>
              <w:rPr>
                <w:rFonts w:eastAsiaTheme="minorEastAsia"/>
                <w:color w:val="000000" w:themeColor="text1"/>
                <w:kern w:val="0"/>
                <w:szCs w:val="21"/>
              </w:rPr>
              <w:t>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113</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氯酞酸</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(chlorthal)</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氯酞酸</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114</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氯酞酸甲酯</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(chlorthal-dimethyl)</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氯酞酸甲酯</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参照</w:t>
            </w:r>
            <w:r>
              <w:rPr>
                <w:rFonts w:eastAsiaTheme="minorEastAsia"/>
                <w:color w:val="000000" w:themeColor="text1"/>
                <w:kern w:val="0"/>
                <w:szCs w:val="21"/>
              </w:rPr>
              <w:t>SN/T 4138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115</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 xml:space="preserve"> 氯唑磷</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(isazofos）</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氯唑磷</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23200.113、GB 23200.121，也可参照GB/T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116</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茅草枯</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(dalapon)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2,2，</w:t>
            </w:r>
            <w:r>
              <w:rPr>
                <w:rFonts w:eastAsiaTheme="minorEastAsia"/>
                <w:color w:val="000000" w:themeColor="text1"/>
                <w:kern w:val="0"/>
                <w:szCs w:val="21"/>
              </w:rPr>
              <w:t>-二氯丙酸及其盐类</w:t>
            </w:r>
            <w:r>
              <w:rPr>
                <w:rFonts w:eastAsiaTheme="minorEastAsia"/>
                <w:color w:val="000000" w:themeColor="text1"/>
                <w:kern w:val="0"/>
                <w:szCs w:val="21"/>
              </w:rPr>
              <w:t>,以茅草枯表示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117</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嘧霉胺</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(pyrimethanil)</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嘧霉胺</w:t>
            </w:r>
          </w:p>
        </w:tc>
        <w:tc>
          <w:tcPr>
            <w:tcW w:w="1335"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5</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w:t>
            </w:r>
            <w:r>
              <w:rPr>
                <w:rFonts w:eastAsiaTheme="minorEastAsia"/>
                <w:color w:val="000000" w:themeColor="text1"/>
                <w:kern w:val="0"/>
                <w:szCs w:val="21"/>
              </w:rPr>
              <w:t>GB 23200.121，也可参照</w:t>
            </w:r>
            <w:r>
              <w:rPr>
                <w:rFonts w:eastAsiaTheme="minorEastAsia"/>
                <w:color w:val="000000" w:themeColor="text1"/>
                <w:kern w:val="0"/>
                <w:szCs w:val="21"/>
              </w:rPr>
              <w:t>GB 23200.8、</w:t>
            </w:r>
            <w:r>
              <w:rPr>
                <w:rFonts w:eastAsiaTheme="minorEastAsia"/>
                <w:color w:val="000000" w:themeColor="text1"/>
                <w:kern w:val="0"/>
                <w:szCs w:val="21"/>
              </w:rPr>
              <w:t>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118</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灭草环</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(tridiphane)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灭草环</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0.05a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bookmarkStart w:id="27" w:name="_GoBack"/>
            <w:bookmarkEnd w:id="27"/>
            <w:r>
              <w:rPr>
                <w:rFonts w:eastAsiaTheme="minorEastAsia"/>
                <w:color w:val="000000" w:themeColor="text1"/>
                <w:kern w:val="0"/>
                <w:szCs w:val="21"/>
              </w:rPr>
              <w:t>参照</w:t>
            </w:r>
            <w:r>
              <w:rPr>
                <w:rFonts w:eastAsiaTheme="minorEastAsia"/>
                <w:color w:val="000000" w:themeColor="text1"/>
                <w:kern w:val="0"/>
                <w:szCs w:val="21"/>
              </w:rPr>
              <w:t>GB 23200.8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119</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灭多威</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(methomyl)</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灭多威</w:t>
            </w:r>
          </w:p>
        </w:tc>
        <w:tc>
          <w:tcPr>
            <w:tcW w:w="1335"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23200.112、</w:t>
            </w:r>
            <w:r>
              <w:rPr>
                <w:rFonts w:eastAsiaTheme="minorEastAsia"/>
                <w:color w:val="000000" w:themeColor="text1"/>
                <w:kern w:val="0"/>
                <w:szCs w:val="21"/>
              </w:rPr>
              <w:t>GB 23200.121、</w:t>
            </w:r>
            <w:r>
              <w:rPr>
                <w:rFonts w:eastAsiaTheme="minorEastAsia"/>
                <w:color w:val="000000" w:themeColor="text1"/>
                <w:kern w:val="0"/>
                <w:szCs w:val="21"/>
              </w:rPr>
              <w:t>NY/T 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120</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灭螨醌</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(acequincyl)</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灭螨醌及其代谢物羟基灭螨醌之和</w:t>
            </w:r>
            <w:r>
              <w:rPr>
                <w:rFonts w:eastAsiaTheme="minorEastAsia"/>
                <w:color w:val="000000" w:themeColor="text1"/>
                <w:kern w:val="0"/>
                <w:szCs w:val="21"/>
              </w:rPr>
              <w:t>,以灭螨醌表示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参照</w:t>
            </w:r>
            <w:r>
              <w:rPr>
                <w:rFonts w:eastAsiaTheme="minorEastAsia"/>
                <w:color w:val="000000" w:themeColor="text1"/>
                <w:kern w:val="0"/>
                <w:szCs w:val="21"/>
              </w:rPr>
              <w:t>SN/T 4066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121</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灭线磷</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(ethoprophos）</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灭线磷</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w:t>
            </w:r>
            <w:r>
              <w:rPr>
                <w:rFonts w:eastAsiaTheme="minorEastAsia"/>
                <w:color w:val="000000" w:themeColor="text1"/>
                <w:kern w:val="0"/>
                <w:szCs w:val="21"/>
              </w:rPr>
              <w:t>GB 23200.121、</w:t>
            </w:r>
            <w:r>
              <w:rPr>
                <w:rFonts w:eastAsiaTheme="minorEastAsia"/>
                <w:color w:val="000000" w:themeColor="text1"/>
                <w:kern w:val="0"/>
                <w:szCs w:val="21"/>
              </w:rPr>
              <w:t>NY/T 761，也可参照</w:t>
            </w:r>
            <w:r>
              <w:rPr>
                <w:rFonts w:eastAsiaTheme="minorEastAsia"/>
                <w:color w:val="000000" w:themeColor="text1"/>
                <w:kern w:val="0"/>
                <w:szCs w:val="21"/>
              </w:rPr>
              <w:t>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122</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 xml:space="preserve"> 内吸磷</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(demeton）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内吸磷</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23200.121，也可参照</w:t>
            </w:r>
            <w:r>
              <w:rPr>
                <w:rFonts w:eastAsiaTheme="minorEastAsia"/>
                <w:color w:val="000000" w:themeColor="text1"/>
                <w:kern w:val="0"/>
                <w:szCs w:val="21"/>
              </w:rPr>
              <w:t>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123</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氰戊菊酯和</w:t>
            </w:r>
            <w:r>
              <w:rPr>
                <w:rFonts w:eastAsiaTheme="minorEastAsia"/>
                <w:color w:val="000000" w:themeColor="text1"/>
                <w:kern w:val="0"/>
                <w:szCs w:val="21"/>
              </w:rPr>
              <w:t>S-氰戊菊酯</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(fenvalerate and esfenvalerate)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氰戊菊酯</w:t>
            </w:r>
            <w:r>
              <w:rPr>
                <w:rFonts w:eastAsiaTheme="minorEastAsia"/>
                <w:color w:val="000000" w:themeColor="text1"/>
                <w:kern w:val="0"/>
                <w:szCs w:val="21"/>
              </w:rPr>
              <w:t>(异构体之和</w:t>
            </w:r>
            <w:r>
              <w:rPr>
                <w:rFonts w:eastAsiaTheme="minorEastAsia"/>
                <w:color w:val="000000" w:themeColor="text1"/>
                <w:kern w:val="0"/>
                <w:szCs w:val="21"/>
              </w:rPr>
              <w:t>)</w:t>
            </w:r>
          </w:p>
        </w:tc>
        <w:tc>
          <w:tcPr>
            <w:tcW w:w="1335"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w:t>
            </w:r>
            <w:r>
              <w:rPr>
                <w:rFonts w:eastAsiaTheme="minorEastAsia"/>
                <w:color w:val="000000" w:themeColor="text1"/>
                <w:kern w:val="0"/>
                <w:szCs w:val="21"/>
              </w:rPr>
              <w:t>GB 23200.121、</w:t>
            </w:r>
            <w:r>
              <w:rPr>
                <w:rFonts w:eastAsiaTheme="minorEastAsia"/>
                <w:color w:val="000000" w:themeColor="text1"/>
                <w:kern w:val="0"/>
                <w:szCs w:val="21"/>
              </w:rPr>
              <w:t>NY/T 761，也可参照</w:t>
            </w:r>
            <w:r>
              <w:rPr>
                <w:rFonts w:eastAsiaTheme="minorEastAsia"/>
                <w:color w:val="000000" w:themeColor="text1"/>
                <w:kern w:val="0"/>
                <w:szCs w:val="21"/>
              </w:rPr>
              <w:t>GB 23200.8、</w:t>
            </w:r>
            <w:r>
              <w:rPr>
                <w:rFonts w:eastAsiaTheme="minorEastAsia"/>
                <w:color w:val="000000" w:themeColor="text1"/>
                <w:kern w:val="0"/>
                <w:szCs w:val="21"/>
              </w:rPr>
              <w:t>SN/T 0217、</w:t>
            </w:r>
            <w:r>
              <w:rPr>
                <w:rFonts w:eastAsiaTheme="minorEastAsia"/>
                <w:color w:val="000000" w:themeColor="text1"/>
                <w:kern w:val="0"/>
                <w:szCs w:val="21"/>
              </w:rPr>
              <w:t>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124</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噻草酮</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(cycloxydim)</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噻草酮及其可以被氧化成</w:t>
            </w:r>
            <w:r>
              <w:rPr>
                <w:rFonts w:eastAsiaTheme="minorEastAsia"/>
                <w:color w:val="000000" w:themeColor="text1"/>
                <w:kern w:val="0"/>
                <w:szCs w:val="21"/>
              </w:rPr>
              <w:t>3-(3-磺酰基</w:t>
            </w:r>
            <w:r>
              <w:rPr>
                <w:rFonts w:eastAsiaTheme="minorEastAsia"/>
                <w:color w:val="000000" w:themeColor="text1"/>
                <w:kern w:val="0"/>
                <w:szCs w:val="21"/>
              </w:rPr>
              <w:t>-四氢噻喃基</w:t>
            </w:r>
            <w:r>
              <w:rPr>
                <w:rFonts w:eastAsiaTheme="minorEastAsia"/>
                <w:color w:val="000000" w:themeColor="text1"/>
                <w:kern w:val="0"/>
                <w:szCs w:val="21"/>
              </w:rPr>
              <w:t>)-戊二酸</w:t>
            </w:r>
            <w:r>
              <w:rPr>
                <w:rFonts w:eastAsiaTheme="minorEastAsia"/>
                <w:color w:val="000000" w:themeColor="text1"/>
                <w:kern w:val="0"/>
                <w:szCs w:val="21"/>
              </w:rPr>
              <w:t>-S-二氧化物和</w:t>
            </w:r>
            <w:r>
              <w:rPr>
                <w:rFonts w:eastAsiaTheme="minorEastAsia"/>
                <w:color w:val="000000" w:themeColor="text1"/>
                <w:kern w:val="0"/>
                <w:szCs w:val="21"/>
              </w:rPr>
              <w:t>3-羟基</w:t>
            </w:r>
            <w:r>
              <w:rPr>
                <w:rFonts w:eastAsiaTheme="minorEastAsia"/>
                <w:color w:val="000000" w:themeColor="text1"/>
                <w:kern w:val="0"/>
                <w:szCs w:val="21"/>
              </w:rPr>
              <w:t>-3- (3-磺酰基</w:t>
            </w:r>
            <w:r>
              <w:rPr>
                <w:rFonts w:eastAsiaTheme="minorEastAsia"/>
                <w:color w:val="000000" w:themeColor="text1"/>
                <w:kern w:val="0"/>
                <w:szCs w:val="21"/>
              </w:rPr>
              <w:t>-四氢噻喃基</w:t>
            </w:r>
            <w:r>
              <w:rPr>
                <w:rFonts w:eastAsiaTheme="minorEastAsia"/>
                <w:color w:val="000000" w:themeColor="text1"/>
                <w:kern w:val="0"/>
                <w:szCs w:val="21"/>
              </w:rPr>
              <w:t>)-戊二酸</w:t>
            </w:r>
            <w:r>
              <w:rPr>
                <w:rFonts w:eastAsiaTheme="minorEastAsia"/>
                <w:color w:val="000000" w:themeColor="text1"/>
                <w:kern w:val="0"/>
                <w:szCs w:val="21"/>
              </w:rPr>
              <w:t>-S-二氧化物的代谢物和降解产物</w:t>
            </w:r>
            <w:r>
              <w:rPr>
                <w:rFonts w:eastAsiaTheme="minorEastAsia"/>
                <w:color w:val="000000" w:themeColor="text1"/>
                <w:kern w:val="0"/>
                <w:szCs w:val="21"/>
              </w:rPr>
              <w:t>,以噻草酮表示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0.09a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125</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噻虫胺</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(clothianidin)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噻虫胺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0.4</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23200.121，也可参照</w:t>
            </w:r>
            <w:r>
              <w:rPr>
                <w:rFonts w:eastAsiaTheme="minorEastAsia"/>
                <w:color w:val="000000" w:themeColor="text1"/>
                <w:kern w:val="0"/>
                <w:szCs w:val="21"/>
              </w:rPr>
              <w:t>GB 23200.39、</w:t>
            </w:r>
            <w:r>
              <w:rPr>
                <w:rFonts w:eastAsiaTheme="minorEastAsia"/>
                <w:color w:val="000000" w:themeColor="text1"/>
                <w:kern w:val="0"/>
                <w:szCs w:val="21"/>
              </w:rPr>
              <w:t>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126</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噻虫啉</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(thiacloprid）</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噻虫啉</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0.7</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23200.121，也可参照GB/T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127</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噻菌灵</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(thiabendazole)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噻菌灵</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3</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23200.121、NY/T 1453、NY/T 1680，也可参照GB/T 20769、GB/T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128</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噻螨酮</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(hexythiazox)</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噻螨酮</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0.4</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23200.121，也可参照GB 23200.8、GB/T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129</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三氟硝草醚</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(fluorodifen)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三氟硝草醚</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130</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三氯杀螨醇</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(dicofol)</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三氯杀螨醇(o,p′-异构体和p,p′-异构体之和)</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23200.113、NY/T 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131</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杀草强</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(amitrole)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杀草强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0.05</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参照GB 23200.6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132</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杀虫脒</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(chlordimeform)</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杀虫脒</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23200.121，也可参照GB/T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133</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杀虫畏</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(tetrachlorvinphos)</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杀虫畏</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23200.113，也可参照GB/T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134</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杀螟硫磷</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(fenitrothion)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杀螟硫磷</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0.5</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23200.113、GB/T 14553、GB/T 5009.20、GB/T 14553、NY/T 761，也可参照GB/T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135</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杀扑磷</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(methidathion)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杀扑磷</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0.05</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23200.113、GB 23200.116、GB 23200.121、GB/T 14553、NY/T 761，也可参照GB 23200.8、GB/T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136</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水胺硫磷</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(isocarbophos)</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水胺硫磷</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23200.113、GB 23200.121、GB/T 5009.20、GB/T 14553、NY/T 761，也可参照GB/T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137</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速灭磷</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(mevinphos）</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速灭磷(Z型和E型异构体之和)</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23200.113、GB 23200.116、GB 23200.121、GB/T 5009.20、GB/T 14553，也可参照GB/T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138</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特丁硫磷</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(terbufos)</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特丁硫磷及其氧类似物(亚砜、砜)之和,以特丁硫磷表示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139</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特乐酚</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(dinoterb)</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特乐酚及其盐和酯类之和,以特乐酚表示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参照SN/T 4591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140</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涕灭威</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(aldicarb)</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涕灭威及其氧类似物(亚砜、砜)之和,以涕灭威表示</w:t>
            </w:r>
          </w:p>
        </w:tc>
        <w:tc>
          <w:tcPr>
            <w:tcW w:w="1335"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23200.112、GB 23200.121、NY/T 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141</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戊菌唑</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(penconazole)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戊菌唑</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23200.113、GB 23200.121，也可参照GB 23200.8、GB/T 20769、GB/T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142</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戊硝酚</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(dinosam)</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戊硝酚</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143</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烯虫炔酯</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(kinoprene)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烯虫炔酯</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144</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烯虫乙酯</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(hydroprene)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烯虫乙酯</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145</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消螨酚</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(dinex)</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消螨酚</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146</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溴甲烷</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(methylbromide)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溴甲烷</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0.02a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147</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溴氰虫酰胺</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(cyantraniliprole）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溴氰虫酰胺</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0.8a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148</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亚胺硫磷</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(phosmet)</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亚胺硫磷</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3</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23200.113、GB 23200.116、GB 23200.121，也可参照GB 23200.8、GB/T 20769、NY/T 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149</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氧乐果</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(omethoate）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氧乐果</w:t>
            </w:r>
          </w:p>
        </w:tc>
        <w:tc>
          <w:tcPr>
            <w:tcW w:w="1335"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23200.113、GB 23200.121、NY/T 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150</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乙基多杀菌素</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(spinetoram)</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乙基多杀菌素</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0.05a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151</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乙螨唑</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(etoxazole)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乙螨唑</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0.07</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23200.113、GB 23200.121，也可参照GB 23200.8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152</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乙酰甲胺磷</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(acephate)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乙酰甲胺磷</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23200.113、GB 23200.116、GB 23200.121、NY/T 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153</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乙酯杀螨醇</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(chlorobenzilate)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乙酯杀螨醇</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154</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抑草蓬</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(erbon)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抑草蓬</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0.05a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参照GB 23200.8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155</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茚草酮</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(indanofan)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茚草酮</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参照SN/T 2915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156</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蝇毒磷</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(coumaphos</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蝇毒磷</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0.05</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23200.113、GB 23200.121，也可参照GB 23200.8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157</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治螟磷</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(sulfotep)</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治螟磷</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23200.113、GB 23200.121、NY/T 761，也可参照GB 23200.8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158</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艾氏剂</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(aldrin)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艾氏剂</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0.05</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23200.113、GB/T 5009.19、NY/T 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159</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滴滴涕</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(DDT)</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p,p'-滴滴涕、o,p'-滴滴涕、p,p'-滴滴伊和p,p'-滴滴滴之和</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0.05</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23200.113、GB/T 5009.19、NY/T 761，也可参照GB/T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160</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狄氏剂</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(dieldrin)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狄氏剂</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23200.113、GB/T 5009.19、NY/T 761，也可参照GB/T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161</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毒杀芬</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(camphechlor)</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毒杀芬</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0.05a</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参照YC/T 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162</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六六六</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(HCH)</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α-六六六、β-六六六、γ-六六六和δ-六六六之和</w:t>
            </w:r>
          </w:p>
        </w:tc>
        <w:tc>
          <w:tcPr>
            <w:tcW w:w="1335"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23200.113、GB/T 5009.19、NY/T 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163</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氯丹</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(chlordane)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顺式氯丹、反式氯丹之和</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GB/T 5009.19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164</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灭蚁灵</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(mirex)</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灭蚁灵</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GB/T 5009.19，也可参照GB/T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165</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七氯</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(heptachlor)</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七氯与环氧七氯之和</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GB/T 5009.19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166</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异狄氏剂</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(endrin）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异狄氏剂与异狄氏剂醛、酮之和</w:t>
            </w:r>
          </w:p>
        </w:tc>
        <w:tc>
          <w:tcPr>
            <w:tcW w:w="13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0.05</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GB/T 5009.19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167</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百菌清</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(chlorothalonil)</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百菌清</w:t>
            </w:r>
          </w:p>
        </w:tc>
        <w:tc>
          <w:tcPr>
            <w:tcW w:w="1335"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0.02</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NY/T 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168</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溴氰菊酯</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(deltamethrin)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溴氰菊酯(异构体之和)</w:t>
            </w:r>
          </w:p>
        </w:tc>
        <w:tc>
          <w:tcPr>
            <w:tcW w:w="1335"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23200.113、GB 23200.121、NY/T 761，也可参照GB 23200.8、SN/T 0217、GB/T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169</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咪鲜胺和咪鲜胺锰盐</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(prochloraz and prochloraz-manganese chloridecomplex)</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咪鲜胺及其含有2,4,6-三氯苯酚部分的代谢产物之和,以咪鲜胺表示</w:t>
            </w:r>
          </w:p>
        </w:tc>
        <w:tc>
          <w:tcPr>
            <w:tcW w:w="1335"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0.01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NY/T 1456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170</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联苯菊酯</w:t>
            </w:r>
            <w:r>
              <w:rPr>
                <w:rFonts w:eastAsiaTheme="minorEastAsia"/>
                <w:color w:val="000000" w:themeColor="text1"/>
                <w:kern w:val="0"/>
                <w:szCs w:val="21"/>
              </w:rPr>
              <w:br w:type="textWrapping"/>
            </w:r>
            <w:r>
              <w:rPr>
                <w:rFonts w:eastAsiaTheme="minorEastAsia"/>
                <w:color w:val="000000" w:themeColor="text1"/>
                <w:kern w:val="0"/>
                <w:szCs w:val="21"/>
              </w:rPr>
              <w:t>(bifenthrin)</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联苯菊酯（异构体之和）</w:t>
            </w:r>
          </w:p>
        </w:tc>
        <w:tc>
          <w:tcPr>
            <w:tcW w:w="1335"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0.5</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23200.113、GB 23200.121、NY/T 761，也可参照GB 23200.8、SN/T 0217、GB/T 5009.218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171</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腐霉利</w:t>
            </w:r>
            <w:r>
              <w:rPr>
                <w:rFonts w:eastAsiaTheme="minorEastAsia"/>
                <w:color w:val="000000" w:themeColor="text1"/>
                <w:kern w:val="0"/>
                <w:szCs w:val="21"/>
              </w:rPr>
              <w:br w:type="textWrapping"/>
            </w:r>
            <w:r>
              <w:rPr>
                <w:rFonts w:eastAsiaTheme="minorEastAsia"/>
                <w:color w:val="000000" w:themeColor="text1"/>
                <w:kern w:val="0"/>
                <w:szCs w:val="21"/>
              </w:rPr>
              <w:t>(procymidone)</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腐霉利</w:t>
            </w:r>
          </w:p>
        </w:tc>
        <w:tc>
          <w:tcPr>
            <w:tcW w:w="1335"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5</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23200.113、GB 23200.121，也可参照GB 23200.8、GB/T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172</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吡虫啉</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(imidacloprid)</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吡虫啉</w:t>
            </w:r>
          </w:p>
        </w:tc>
        <w:tc>
          <w:tcPr>
            <w:tcW w:w="1335"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5</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23200.121，也可参照GB 23200.50、GB/T 20769、GB/T 23379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173</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烯酰吗啉</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(dimethomorph )</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烯酰吗啉</w:t>
            </w:r>
          </w:p>
        </w:tc>
        <w:tc>
          <w:tcPr>
            <w:tcW w:w="1335"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7</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GB 23200.121，也可参照 GB/T 20769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51"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174</w:t>
            </w:r>
          </w:p>
        </w:tc>
        <w:tc>
          <w:tcPr>
            <w:tcW w:w="217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虫螨腈</w:t>
            </w:r>
          </w:p>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(chlorfenapyr)</w:t>
            </w:r>
          </w:p>
        </w:tc>
        <w:tc>
          <w:tcPr>
            <w:tcW w:w="2235"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虫螨腈</w:t>
            </w:r>
          </w:p>
        </w:tc>
        <w:tc>
          <w:tcPr>
            <w:tcW w:w="1335" w:type="dxa"/>
            <w:shd w:val="clear" w:color="auto" w:fill="auto"/>
            <w:noWrap/>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1</w:t>
            </w:r>
          </w:p>
        </w:tc>
        <w:tc>
          <w:tcPr>
            <w:tcW w:w="3029" w:type="dxa"/>
            <w:shd w:val="clear" w:color="auto" w:fill="auto"/>
            <w:vAlign w:val="center"/>
          </w:tcPr>
          <w:p>
            <w:pPr>
              <w:widowControl/>
              <w:jc w:val="center"/>
              <w:textAlignment w:val="center"/>
              <w:rPr>
                <w:rFonts w:eastAsiaTheme="minorEastAsia"/>
                <w:color w:val="000000" w:themeColor="text1"/>
                <w:kern w:val="0"/>
                <w:szCs w:val="21"/>
              </w:rPr>
            </w:pPr>
            <w:r>
              <w:rPr>
                <w:rFonts w:eastAsiaTheme="minorEastAsia"/>
                <w:color w:val="000000" w:themeColor="text1"/>
                <w:kern w:val="0"/>
                <w:szCs w:val="21"/>
              </w:rPr>
              <w:t>参照GB 23200.8、NY/T 1379、SN/T 1986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9525" w:type="dxa"/>
            <w:gridSpan w:val="5"/>
            <w:shd w:val="clear" w:color="auto" w:fill="auto"/>
            <w:noWrap/>
            <w:vAlign w:val="center"/>
          </w:tcPr>
          <w:p>
            <w:pPr>
              <w:widowControl/>
              <w:spacing w:line="300" w:lineRule="exact"/>
              <w:jc w:val="left"/>
              <w:textAlignment w:val="center"/>
              <w:rPr>
                <w:rFonts w:eastAsiaTheme="minorEastAsia"/>
                <w:color w:val="000000" w:themeColor="text1"/>
                <w:kern w:val="0"/>
                <w:szCs w:val="21"/>
              </w:rPr>
            </w:pPr>
            <w:r>
              <w:rPr>
                <w:rFonts w:eastAsiaTheme="minorEastAsia"/>
                <w:color w:val="000000" w:themeColor="text1"/>
                <w:kern w:val="0"/>
                <w:szCs w:val="21"/>
              </w:rPr>
              <w:t>注：a 该限量为临时限量。</w:t>
            </w:r>
          </w:p>
        </w:tc>
      </w:tr>
    </w:tbl>
    <w:p>
      <w:pPr>
        <w:widowControl/>
        <w:spacing w:line="300" w:lineRule="exact"/>
        <w:textAlignment w:val="center"/>
        <w:rPr>
          <w:rFonts w:asciiTheme="minorEastAsia" w:hAnsiTheme="minorEastAsia" w:eastAsiaTheme="minorEastAsia" w:cstheme="minorEastAsia"/>
          <w:color w:val="000000" w:themeColor="text1"/>
          <w:kern w:val="0"/>
          <w:szCs w:val="21"/>
        </w:rPr>
      </w:pPr>
    </w:p>
    <w:sectPr>
      <w:pgSz w:w="11906" w:h="16838"/>
      <w:pgMar w:top="567" w:right="1134" w:bottom="1134" w:left="1417" w:header="1418" w:footer="1134" w:gutter="0"/>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pPr>
    <w:r>
      <w:pict>
        <v:shape id="文本框 1" o:spid="_x0000_s2057"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ZjF8EBAACN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oYSxy0O/PL92+XHr8vPr2SZ&#10;5ekD1Jj1EDAvDXd+wKWZ/YDOzHpQ0eYv8iEYR3HPV3HlkIjIj9ar9brCkMDYfEF89vg8REhvpbck&#10;Gw2NOL0iKj+9hzSmzim5mvP32pgyQeP+ciBm9rDc+9hjttKwHyZCe9+ekU+Pg2+owz2nxLxzqGve&#10;kdmIs7GfjFwDwu0xYeHST0YdoaZiOKXCaNqovAZ/3kvW41+0/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4ZjF8EBAACNAwAADgAAAAAAAAABACAAAAAeAQAAZHJzL2Uyb0RvYy54bWxQSwUG&#10;AAAAAAYABgBZAQAAUQUAAAAA&#10;">
          <v:path/>
          <v:fill on="f" focussize="0,0"/>
          <v:stroke on="f" joinstyle="miter"/>
          <v:imagedata o:title=""/>
          <o:lock v:ext="edit"/>
          <v:textbox inset="0mm,0mm,0mm,0mm" style="mso-fit-shape-to-text:t;">
            <w:txbxContent>
              <w:p>
                <w:pPr>
                  <w:pStyle w:val="70"/>
                </w:pPr>
              </w:p>
              <w:p>
                <w:pPr>
                  <w:pStyle w:val="70"/>
                </w:pPr>
              </w:p>
              <w:p>
                <w:pPr>
                  <w:pStyle w:val="70"/>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r>
      <w:pict>
        <v:shape id="文本框 2" o:spid="_x0000_s205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hiaUcEBAACN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FtQ3Hsjlsc+Pnnj/OvP+ff38ky&#10;y9MHqDHrLmBeGj74AZdm9gM6M+tBRZu/yIdgHMU9XcSVQyIiP1otV6sKQwJj8wXx2dPzECF9lN6S&#10;bDQ04vSKqPz4GdKYOqfkas7famPKBI37y4GY2cNy72OP2UrDbpgI7Xx7Qj49Dr6hDvecEvPJoa55&#10;R2YjzsZuMnINCO8PCQuXfjLqCDUVwykVRtNG5TV4fi9ZT3/R5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9hiaUcEBAACNAwAADgAAAAAAAAABACAAAAAeAQAAZHJzL2Uyb0RvYy54bWxQSwUG&#10;AAAAAAYABgBZAQAAUQUAAAAA&#10;">
          <v:path/>
          <v:fill on="f" focussize="0,0"/>
          <v:stroke on="f" joinstyle="miter"/>
          <v:imagedata o:title=""/>
          <o:lock v:ext="edit"/>
          <v:textbox inset="0mm,0mm,0mm,0mm" style="mso-fit-shape-to-text:t;">
            <w:txbxContent>
              <w:p>
                <w:pPr>
                  <w:pStyle w:val="4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pict>
        <v:shape id="文本框 5" o:spid="_x0000_s2055"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7SC/cIBAACNAwAADgAAAGRycy9lMm9Eb2MueG1srVPNjtMwEL4j8Q6W&#10;79TZSqA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0gv3CAQAAjQMAAA4AAAAAAAAAAQAgAAAAHgEAAGRycy9lMm9Eb2MueG1sUEsF&#10;BgAAAAAGAAYAWQEAAFIFAAAAAA==&#10;">
          <v:path/>
          <v:fill on="f" focussize="0,0"/>
          <v:stroke on="f" joinstyle="miter"/>
          <v:imagedata o:title=""/>
          <o:lock v:ext="edit"/>
          <v:textbox inset="0mm,0mm,0mm,0mm" style="mso-fit-shape-to-text:t;">
            <w:txbxContent>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jc w:val="right"/>
    </w:pPr>
    <w:r>
      <w:t xml:space="preserve">DB510400/T </w:t>
    </w:r>
    <w:r>
      <w:rPr>
        <w:rFonts w:hint="eastAsia"/>
      </w:rPr>
      <w:t>XXX</w:t>
    </w:r>
    <w:r>
      <w:t>—20</w:t>
    </w:r>
    <w:r>
      <w:rPr>
        <w:rFonts w:hint="eastAsia"/>
      </w:rPr>
      <w:t>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p>
  <w:p>
    <w:pPr>
      <w:pStyle w:val="46"/>
    </w:pPr>
    <w:r>
      <w:t>DB</w:t>
    </w:r>
    <w:r>
      <w:rPr>
        <w:rFonts w:hint="eastAsia"/>
      </w:rPr>
      <w:t>510400</w:t>
    </w:r>
    <w:r>
      <w:t>/</w:t>
    </w:r>
    <w:r>
      <w:rPr>
        <w:rFonts w:hint="eastAsia"/>
      </w:rPr>
      <w:t>TXXX</w:t>
    </w:r>
    <w:r>
      <w:t>—</w:t>
    </w:r>
    <w:r>
      <w:rPr>
        <w:rFonts w:hint="eastAsia"/>
      </w:rP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60"/>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8"/>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4"/>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3"/>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4"/>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48"/>
      <w:suff w:val="nothing"/>
      <w:lvlText w:val="%1.%2.%3　"/>
      <w:lvlJc w:val="left"/>
      <w:pPr>
        <w:ind w:left="0" w:firstLine="0"/>
      </w:pPr>
      <w:rPr>
        <w:rFonts w:hint="eastAsia" w:ascii="黑体" w:hAnsi="Times New Roman" w:eastAsia="黑体"/>
        <w:b w:val="0"/>
        <w:i w:val="0"/>
        <w:sz w:val="21"/>
      </w:rPr>
    </w:lvl>
    <w:lvl w:ilvl="3" w:tentative="0">
      <w:start w:val="1"/>
      <w:numFmt w:val="decimal"/>
      <w:pStyle w:val="53"/>
      <w:suff w:val="nothing"/>
      <w:lvlText w:val="%1.%2.%3.%4　"/>
      <w:lvlJc w:val="left"/>
      <w:pPr>
        <w:ind w:left="0" w:firstLine="0"/>
      </w:pPr>
      <w:rPr>
        <w:rFonts w:hint="eastAsia" w:ascii="黑体" w:hAnsi="Times New Roman" w:eastAsia="黑体"/>
        <w:b w:val="0"/>
        <w:i w:val="0"/>
        <w:sz w:val="21"/>
      </w:rPr>
    </w:lvl>
    <w:lvl w:ilvl="4" w:tentative="0">
      <w:start w:val="1"/>
      <w:numFmt w:val="decimal"/>
      <w:pStyle w:val="57"/>
      <w:suff w:val="nothing"/>
      <w:lvlText w:val="%1.%2.%3.%4.%5　"/>
      <w:lvlJc w:val="left"/>
      <w:pPr>
        <w:ind w:left="0" w:firstLine="0"/>
      </w:pPr>
      <w:rPr>
        <w:rFonts w:hint="eastAsia" w:ascii="黑体" w:hAnsi="Times New Roman" w:eastAsia="黑体"/>
        <w:b w:val="0"/>
        <w:i w:val="0"/>
        <w:sz w:val="21"/>
      </w:rPr>
    </w:lvl>
    <w:lvl w:ilvl="5" w:tentative="0">
      <w:start w:val="1"/>
      <w:numFmt w:val="decimal"/>
      <w:pStyle w:val="5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01"/>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50"/>
      <w:suff w:val="nothing"/>
      <w:lvlText w:val="%1——"/>
      <w:lvlJc w:val="left"/>
      <w:pPr>
        <w:ind w:left="833" w:hanging="408"/>
      </w:pPr>
      <w:rPr>
        <w:rFonts w:hint="eastAsia"/>
      </w:rPr>
    </w:lvl>
    <w:lvl w:ilvl="1" w:tentative="0">
      <w:start w:val="1"/>
      <w:numFmt w:val="bullet"/>
      <w:pStyle w:val="51"/>
      <w:lvlText w:val=""/>
      <w:lvlJc w:val="left"/>
      <w:pPr>
        <w:tabs>
          <w:tab w:val="left" w:pos="760"/>
        </w:tabs>
        <w:ind w:left="1264" w:hanging="413"/>
      </w:pPr>
      <w:rPr>
        <w:rFonts w:hint="default" w:ascii="Symbol" w:hAnsi="Symbol"/>
        <w:color w:val="auto"/>
      </w:rPr>
    </w:lvl>
    <w:lvl w:ilvl="2" w:tentative="0">
      <w:start w:val="1"/>
      <w:numFmt w:val="bullet"/>
      <w:pStyle w:val="62"/>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61"/>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6"/>
      <w:lvlText w:val="%2)"/>
      <w:lvlJc w:val="left"/>
      <w:pPr>
        <w:tabs>
          <w:tab w:val="left" w:pos="1260"/>
        </w:tabs>
        <w:ind w:left="1259" w:hanging="419"/>
      </w:pPr>
      <w:rPr>
        <w:rFonts w:hint="eastAsia"/>
      </w:rPr>
    </w:lvl>
    <w:lvl w:ilvl="2" w:tentative="0">
      <w:start w:val="1"/>
      <w:numFmt w:val="decimal"/>
      <w:pStyle w:val="63"/>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4B733A5F"/>
    <w:multiLevelType w:val="multilevel"/>
    <w:tmpl w:val="4B733A5F"/>
    <w:lvl w:ilvl="0" w:tentative="0">
      <w:start w:val="1"/>
      <w:numFmt w:val="decimal"/>
      <w:pStyle w:val="64"/>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3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8"/>
      <w:lvlText w:val="%1"/>
      <w:lvlJc w:val="left"/>
      <w:pPr>
        <w:tabs>
          <w:tab w:val="left" w:pos="0"/>
        </w:tabs>
        <w:ind w:left="0" w:hanging="425"/>
      </w:pPr>
      <w:rPr>
        <w:rFonts w:hint="eastAsia"/>
      </w:rPr>
    </w:lvl>
    <w:lvl w:ilvl="1" w:tentative="0">
      <w:start w:val="1"/>
      <w:numFmt w:val="decimal"/>
      <w:pStyle w:val="8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8"/>
      <w:suff w:val="nothing"/>
      <w:lvlText w:val="表%1　"/>
      <w:lvlJc w:val="left"/>
      <w:pPr>
        <w:ind w:left="4253"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6"/>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5"/>
      <w:suff w:val="nothing"/>
      <w:lvlText w:val="%1.%2.%3　"/>
      <w:lvlJc w:val="left"/>
      <w:pPr>
        <w:ind w:left="0" w:firstLine="0"/>
      </w:pPr>
      <w:rPr>
        <w:rFonts w:hint="eastAsia" w:ascii="黑体" w:hAnsi="Times New Roman" w:eastAsia="黑体"/>
        <w:b w:val="0"/>
        <w:i w:val="0"/>
        <w:sz w:val="21"/>
      </w:rPr>
    </w:lvl>
    <w:lvl w:ilvl="3" w:tentative="0">
      <w:start w:val="1"/>
      <w:numFmt w:val="decimal"/>
      <w:pStyle w:val="90"/>
      <w:suff w:val="nothing"/>
      <w:lvlText w:val="%1.%2.%3.%4　"/>
      <w:lvlJc w:val="left"/>
      <w:pPr>
        <w:ind w:left="0"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pStyle w:val="98"/>
      <w:suff w:val="nothing"/>
      <w:lvlText w:val="%1.%2.%3.%4.%5.%6　"/>
      <w:lvlJc w:val="left"/>
      <w:pPr>
        <w:ind w:left="0" w:firstLine="0"/>
      </w:pPr>
      <w:rPr>
        <w:rFonts w:hint="eastAsia" w:ascii="黑体" w:hAnsi="Times New Roman" w:eastAsia="黑体"/>
        <w:b w:val="0"/>
        <w:i w:val="0"/>
        <w:sz w:val="21"/>
      </w:rPr>
    </w:lvl>
    <w:lvl w:ilvl="6" w:tentative="0">
      <w:start w:val="1"/>
      <w:numFmt w:val="decimal"/>
      <w:pStyle w:val="10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7"/>
      <w:lvlText w:val="%1)"/>
      <w:lvlJc w:val="left"/>
      <w:pPr>
        <w:tabs>
          <w:tab w:val="left" w:pos="839"/>
        </w:tabs>
        <w:ind w:left="839" w:hanging="419"/>
      </w:pPr>
      <w:rPr>
        <w:rFonts w:hint="eastAsia" w:ascii="宋体" w:eastAsia="宋体"/>
        <w:b w:val="0"/>
        <w:i w:val="0"/>
        <w:sz w:val="21"/>
      </w:rPr>
    </w:lvl>
    <w:lvl w:ilvl="1" w:tentative="0">
      <w:start w:val="1"/>
      <w:numFmt w:val="decimal"/>
      <w:pStyle w:val="97"/>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BF04F4"/>
    <w:multiLevelType w:val="multilevel"/>
    <w:tmpl w:val="6DBF04F4"/>
    <w:lvl w:ilvl="0" w:tentative="0">
      <w:start w:val="1"/>
      <w:numFmt w:val="none"/>
      <w:pStyle w:val="5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6"/>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mirrorMargins w:val="1"/>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Q0Y2ZkMGU1ZTRiY2FmNjNlODQ4M2EzOWQ5NmMxZDIifQ=="/>
  </w:docVars>
  <w:rsids>
    <w:rsidRoot w:val="00172A27"/>
    <w:rsid w:val="00000244"/>
    <w:rsid w:val="0000185F"/>
    <w:rsid w:val="00004326"/>
    <w:rsid w:val="0000586F"/>
    <w:rsid w:val="00013D86"/>
    <w:rsid w:val="00013E02"/>
    <w:rsid w:val="0002143C"/>
    <w:rsid w:val="00025A65"/>
    <w:rsid w:val="00026C31"/>
    <w:rsid w:val="00027280"/>
    <w:rsid w:val="000320A7"/>
    <w:rsid w:val="00035925"/>
    <w:rsid w:val="00067CDF"/>
    <w:rsid w:val="00074FBE"/>
    <w:rsid w:val="00083A09"/>
    <w:rsid w:val="000857C3"/>
    <w:rsid w:val="0009005E"/>
    <w:rsid w:val="00092857"/>
    <w:rsid w:val="000A20A9"/>
    <w:rsid w:val="000A48B1"/>
    <w:rsid w:val="000B3143"/>
    <w:rsid w:val="000B6AAE"/>
    <w:rsid w:val="000B7FBD"/>
    <w:rsid w:val="000C6B05"/>
    <w:rsid w:val="000C6DD6"/>
    <w:rsid w:val="000C73D4"/>
    <w:rsid w:val="000D06AE"/>
    <w:rsid w:val="000D3D4C"/>
    <w:rsid w:val="000D4F51"/>
    <w:rsid w:val="000D718B"/>
    <w:rsid w:val="000E0C46"/>
    <w:rsid w:val="000E1BF2"/>
    <w:rsid w:val="000F030C"/>
    <w:rsid w:val="000F129C"/>
    <w:rsid w:val="001056DE"/>
    <w:rsid w:val="00110CF5"/>
    <w:rsid w:val="001124C0"/>
    <w:rsid w:val="001316DF"/>
    <w:rsid w:val="0013175F"/>
    <w:rsid w:val="00140A5E"/>
    <w:rsid w:val="001512B4"/>
    <w:rsid w:val="001620A5"/>
    <w:rsid w:val="00164E53"/>
    <w:rsid w:val="00165B31"/>
    <w:rsid w:val="0016699D"/>
    <w:rsid w:val="00172A27"/>
    <w:rsid w:val="00175159"/>
    <w:rsid w:val="00176208"/>
    <w:rsid w:val="0018211B"/>
    <w:rsid w:val="001840D3"/>
    <w:rsid w:val="00184ED1"/>
    <w:rsid w:val="001900F8"/>
    <w:rsid w:val="00191258"/>
    <w:rsid w:val="00192680"/>
    <w:rsid w:val="00193037"/>
    <w:rsid w:val="00193A2C"/>
    <w:rsid w:val="001A185C"/>
    <w:rsid w:val="001A288E"/>
    <w:rsid w:val="001B251B"/>
    <w:rsid w:val="001B6DC2"/>
    <w:rsid w:val="001C149C"/>
    <w:rsid w:val="001C21AC"/>
    <w:rsid w:val="001C2511"/>
    <w:rsid w:val="001C47BA"/>
    <w:rsid w:val="001C59EA"/>
    <w:rsid w:val="001D406C"/>
    <w:rsid w:val="001D41EE"/>
    <w:rsid w:val="001E0380"/>
    <w:rsid w:val="001E13B1"/>
    <w:rsid w:val="001F2921"/>
    <w:rsid w:val="001F3A19"/>
    <w:rsid w:val="001F4B03"/>
    <w:rsid w:val="001F7E87"/>
    <w:rsid w:val="00226101"/>
    <w:rsid w:val="00226D27"/>
    <w:rsid w:val="00234467"/>
    <w:rsid w:val="00237D8D"/>
    <w:rsid w:val="00241DA2"/>
    <w:rsid w:val="00247FEE"/>
    <w:rsid w:val="00250E7D"/>
    <w:rsid w:val="002565D5"/>
    <w:rsid w:val="002622C0"/>
    <w:rsid w:val="002778AE"/>
    <w:rsid w:val="0028269A"/>
    <w:rsid w:val="00283590"/>
    <w:rsid w:val="00286973"/>
    <w:rsid w:val="002944D5"/>
    <w:rsid w:val="00294E70"/>
    <w:rsid w:val="002A1924"/>
    <w:rsid w:val="002A7420"/>
    <w:rsid w:val="002A774D"/>
    <w:rsid w:val="002B0F12"/>
    <w:rsid w:val="002B1308"/>
    <w:rsid w:val="002B43FF"/>
    <w:rsid w:val="002B4554"/>
    <w:rsid w:val="002C72D8"/>
    <w:rsid w:val="002D11FA"/>
    <w:rsid w:val="002E0DDF"/>
    <w:rsid w:val="002E2906"/>
    <w:rsid w:val="002E5635"/>
    <w:rsid w:val="002E64C3"/>
    <w:rsid w:val="002E6A2C"/>
    <w:rsid w:val="002F1D8C"/>
    <w:rsid w:val="002F21DA"/>
    <w:rsid w:val="00301F39"/>
    <w:rsid w:val="0030674B"/>
    <w:rsid w:val="00316C3B"/>
    <w:rsid w:val="00325926"/>
    <w:rsid w:val="00327A8A"/>
    <w:rsid w:val="00336610"/>
    <w:rsid w:val="00343F73"/>
    <w:rsid w:val="00345060"/>
    <w:rsid w:val="0035323B"/>
    <w:rsid w:val="003609D2"/>
    <w:rsid w:val="00363F22"/>
    <w:rsid w:val="0036788C"/>
    <w:rsid w:val="00375564"/>
    <w:rsid w:val="00383191"/>
    <w:rsid w:val="00386DED"/>
    <w:rsid w:val="003912E7"/>
    <w:rsid w:val="00393947"/>
    <w:rsid w:val="0039780E"/>
    <w:rsid w:val="003A2275"/>
    <w:rsid w:val="003A6A4F"/>
    <w:rsid w:val="003A7088"/>
    <w:rsid w:val="003B00DF"/>
    <w:rsid w:val="003B1275"/>
    <w:rsid w:val="003B1778"/>
    <w:rsid w:val="003C11CB"/>
    <w:rsid w:val="003C75F3"/>
    <w:rsid w:val="003C78A3"/>
    <w:rsid w:val="003D47ED"/>
    <w:rsid w:val="003E1867"/>
    <w:rsid w:val="003E5729"/>
    <w:rsid w:val="003F4EE0"/>
    <w:rsid w:val="00402153"/>
    <w:rsid w:val="00402FC1"/>
    <w:rsid w:val="00425082"/>
    <w:rsid w:val="00425F56"/>
    <w:rsid w:val="00431DEB"/>
    <w:rsid w:val="00446B29"/>
    <w:rsid w:val="00453F9A"/>
    <w:rsid w:val="00471E91"/>
    <w:rsid w:val="00474675"/>
    <w:rsid w:val="0047470C"/>
    <w:rsid w:val="00495172"/>
    <w:rsid w:val="004A35F9"/>
    <w:rsid w:val="004B24C1"/>
    <w:rsid w:val="004C292F"/>
    <w:rsid w:val="004E08F3"/>
    <w:rsid w:val="004F5933"/>
    <w:rsid w:val="00510280"/>
    <w:rsid w:val="00513D73"/>
    <w:rsid w:val="00514A43"/>
    <w:rsid w:val="005174E5"/>
    <w:rsid w:val="00522393"/>
    <w:rsid w:val="00522620"/>
    <w:rsid w:val="00525656"/>
    <w:rsid w:val="00534C02"/>
    <w:rsid w:val="0054264B"/>
    <w:rsid w:val="00543786"/>
    <w:rsid w:val="00545EBD"/>
    <w:rsid w:val="005533D7"/>
    <w:rsid w:val="005703DE"/>
    <w:rsid w:val="0058464E"/>
    <w:rsid w:val="005A01CB"/>
    <w:rsid w:val="005A58FF"/>
    <w:rsid w:val="005A5EAF"/>
    <w:rsid w:val="005A64C0"/>
    <w:rsid w:val="005B0F4A"/>
    <w:rsid w:val="005B313C"/>
    <w:rsid w:val="005B3A55"/>
    <w:rsid w:val="005B3C11"/>
    <w:rsid w:val="005C1C28"/>
    <w:rsid w:val="005C6DB5"/>
    <w:rsid w:val="005E11A8"/>
    <w:rsid w:val="005E19E7"/>
    <w:rsid w:val="00603124"/>
    <w:rsid w:val="00613C38"/>
    <w:rsid w:val="0061716C"/>
    <w:rsid w:val="006243A1"/>
    <w:rsid w:val="00632E56"/>
    <w:rsid w:val="00635CBA"/>
    <w:rsid w:val="0064338B"/>
    <w:rsid w:val="00646542"/>
    <w:rsid w:val="006504F4"/>
    <w:rsid w:val="0065146A"/>
    <w:rsid w:val="00654BC9"/>
    <w:rsid w:val="006552FD"/>
    <w:rsid w:val="00663AF3"/>
    <w:rsid w:val="00666B6C"/>
    <w:rsid w:val="00682682"/>
    <w:rsid w:val="00682702"/>
    <w:rsid w:val="00684B63"/>
    <w:rsid w:val="00692368"/>
    <w:rsid w:val="0069598F"/>
    <w:rsid w:val="006A2EBC"/>
    <w:rsid w:val="006A5EA0"/>
    <w:rsid w:val="006A7828"/>
    <w:rsid w:val="006A783B"/>
    <w:rsid w:val="006A7B33"/>
    <w:rsid w:val="006B4E13"/>
    <w:rsid w:val="006B75DD"/>
    <w:rsid w:val="006C4A30"/>
    <w:rsid w:val="006C67E0"/>
    <w:rsid w:val="006C7ABA"/>
    <w:rsid w:val="006D0D60"/>
    <w:rsid w:val="006D1122"/>
    <w:rsid w:val="006D3C00"/>
    <w:rsid w:val="006E3675"/>
    <w:rsid w:val="006E4A7F"/>
    <w:rsid w:val="00704DF6"/>
    <w:rsid w:val="0070651C"/>
    <w:rsid w:val="007132A3"/>
    <w:rsid w:val="00716421"/>
    <w:rsid w:val="00724EFB"/>
    <w:rsid w:val="00733127"/>
    <w:rsid w:val="007419C3"/>
    <w:rsid w:val="007467A7"/>
    <w:rsid w:val="007469DD"/>
    <w:rsid w:val="0074741B"/>
    <w:rsid w:val="0074759E"/>
    <w:rsid w:val="007478EA"/>
    <w:rsid w:val="0075415C"/>
    <w:rsid w:val="00763502"/>
    <w:rsid w:val="007877C0"/>
    <w:rsid w:val="007913AB"/>
    <w:rsid w:val="007914F7"/>
    <w:rsid w:val="007A57E9"/>
    <w:rsid w:val="007A71A8"/>
    <w:rsid w:val="007B1625"/>
    <w:rsid w:val="007B4714"/>
    <w:rsid w:val="007B706E"/>
    <w:rsid w:val="007B71EB"/>
    <w:rsid w:val="007C6205"/>
    <w:rsid w:val="007C686A"/>
    <w:rsid w:val="007C728E"/>
    <w:rsid w:val="007D2C53"/>
    <w:rsid w:val="007D3D60"/>
    <w:rsid w:val="007E1980"/>
    <w:rsid w:val="007E4B76"/>
    <w:rsid w:val="007E5EA8"/>
    <w:rsid w:val="007F0CF1"/>
    <w:rsid w:val="007F12A5"/>
    <w:rsid w:val="007F4CF1"/>
    <w:rsid w:val="007F758D"/>
    <w:rsid w:val="007F7D52"/>
    <w:rsid w:val="008039FD"/>
    <w:rsid w:val="0080654C"/>
    <w:rsid w:val="008071C6"/>
    <w:rsid w:val="00817A00"/>
    <w:rsid w:val="00835DB3"/>
    <w:rsid w:val="0083617B"/>
    <w:rsid w:val="008371BD"/>
    <w:rsid w:val="008504A8"/>
    <w:rsid w:val="0085282E"/>
    <w:rsid w:val="0087198C"/>
    <w:rsid w:val="00872C1F"/>
    <w:rsid w:val="00873B42"/>
    <w:rsid w:val="008856D8"/>
    <w:rsid w:val="008907EE"/>
    <w:rsid w:val="00892E82"/>
    <w:rsid w:val="008A678E"/>
    <w:rsid w:val="008A6D72"/>
    <w:rsid w:val="008B2311"/>
    <w:rsid w:val="008C1B58"/>
    <w:rsid w:val="008C39AE"/>
    <w:rsid w:val="008C590D"/>
    <w:rsid w:val="008E031B"/>
    <w:rsid w:val="008E7029"/>
    <w:rsid w:val="008E7EF6"/>
    <w:rsid w:val="008F147C"/>
    <w:rsid w:val="008F1E05"/>
    <w:rsid w:val="008F1F98"/>
    <w:rsid w:val="008F6758"/>
    <w:rsid w:val="00903A7F"/>
    <w:rsid w:val="009040DD"/>
    <w:rsid w:val="00905B47"/>
    <w:rsid w:val="00911831"/>
    <w:rsid w:val="0091331C"/>
    <w:rsid w:val="009279DE"/>
    <w:rsid w:val="00930116"/>
    <w:rsid w:val="0094212C"/>
    <w:rsid w:val="00954689"/>
    <w:rsid w:val="009617C9"/>
    <w:rsid w:val="00961C93"/>
    <w:rsid w:val="00965324"/>
    <w:rsid w:val="0097091E"/>
    <w:rsid w:val="009760D3"/>
    <w:rsid w:val="00977044"/>
    <w:rsid w:val="00977132"/>
    <w:rsid w:val="00981A4B"/>
    <w:rsid w:val="00982501"/>
    <w:rsid w:val="009877D3"/>
    <w:rsid w:val="00994E8F"/>
    <w:rsid w:val="009951DC"/>
    <w:rsid w:val="009959BB"/>
    <w:rsid w:val="00997158"/>
    <w:rsid w:val="009A3A7C"/>
    <w:rsid w:val="009B2ADB"/>
    <w:rsid w:val="009B603A"/>
    <w:rsid w:val="009C2D0E"/>
    <w:rsid w:val="009C3DAC"/>
    <w:rsid w:val="009C42E0"/>
    <w:rsid w:val="009D30C1"/>
    <w:rsid w:val="009D5362"/>
    <w:rsid w:val="009E1415"/>
    <w:rsid w:val="009E4F3F"/>
    <w:rsid w:val="009E6116"/>
    <w:rsid w:val="00A02E43"/>
    <w:rsid w:val="00A03DC4"/>
    <w:rsid w:val="00A065F9"/>
    <w:rsid w:val="00A07F34"/>
    <w:rsid w:val="00A10730"/>
    <w:rsid w:val="00A22154"/>
    <w:rsid w:val="00A25C38"/>
    <w:rsid w:val="00A36BBE"/>
    <w:rsid w:val="00A4307A"/>
    <w:rsid w:val="00A444F9"/>
    <w:rsid w:val="00A47EBB"/>
    <w:rsid w:val="00A51CDD"/>
    <w:rsid w:val="00A6730D"/>
    <w:rsid w:val="00A71625"/>
    <w:rsid w:val="00A71B9B"/>
    <w:rsid w:val="00A751C7"/>
    <w:rsid w:val="00A87844"/>
    <w:rsid w:val="00AA038C"/>
    <w:rsid w:val="00AA7A09"/>
    <w:rsid w:val="00AB3B50"/>
    <w:rsid w:val="00AB450F"/>
    <w:rsid w:val="00AC05B1"/>
    <w:rsid w:val="00AD356C"/>
    <w:rsid w:val="00AE0B2A"/>
    <w:rsid w:val="00AE2914"/>
    <w:rsid w:val="00AE6D15"/>
    <w:rsid w:val="00B04182"/>
    <w:rsid w:val="00B07AE3"/>
    <w:rsid w:val="00B106F4"/>
    <w:rsid w:val="00B11430"/>
    <w:rsid w:val="00B1149D"/>
    <w:rsid w:val="00B353EB"/>
    <w:rsid w:val="00B40807"/>
    <w:rsid w:val="00B439C4"/>
    <w:rsid w:val="00B4535E"/>
    <w:rsid w:val="00B52A8C"/>
    <w:rsid w:val="00B61748"/>
    <w:rsid w:val="00B636A8"/>
    <w:rsid w:val="00B64B1D"/>
    <w:rsid w:val="00B665C6"/>
    <w:rsid w:val="00B805AF"/>
    <w:rsid w:val="00B869EC"/>
    <w:rsid w:val="00B9397A"/>
    <w:rsid w:val="00B9633D"/>
    <w:rsid w:val="00B9747A"/>
    <w:rsid w:val="00BA2EBE"/>
    <w:rsid w:val="00BB0F28"/>
    <w:rsid w:val="00BB458A"/>
    <w:rsid w:val="00BD00D3"/>
    <w:rsid w:val="00BD1659"/>
    <w:rsid w:val="00BD3AA9"/>
    <w:rsid w:val="00BD4A18"/>
    <w:rsid w:val="00BD6DB2"/>
    <w:rsid w:val="00BE11CF"/>
    <w:rsid w:val="00BE21AB"/>
    <w:rsid w:val="00BE55CB"/>
    <w:rsid w:val="00BF617A"/>
    <w:rsid w:val="00C0379D"/>
    <w:rsid w:val="00C03931"/>
    <w:rsid w:val="00C05FE3"/>
    <w:rsid w:val="00C20709"/>
    <w:rsid w:val="00C2136D"/>
    <w:rsid w:val="00C214EE"/>
    <w:rsid w:val="00C2314B"/>
    <w:rsid w:val="00C24971"/>
    <w:rsid w:val="00C26BE5"/>
    <w:rsid w:val="00C26E4D"/>
    <w:rsid w:val="00C27909"/>
    <w:rsid w:val="00C27B03"/>
    <w:rsid w:val="00C314E1"/>
    <w:rsid w:val="00C34397"/>
    <w:rsid w:val="00C37500"/>
    <w:rsid w:val="00C4095D"/>
    <w:rsid w:val="00C601D2"/>
    <w:rsid w:val="00C65BCC"/>
    <w:rsid w:val="00C66970"/>
    <w:rsid w:val="00C8691C"/>
    <w:rsid w:val="00CA168A"/>
    <w:rsid w:val="00CA357E"/>
    <w:rsid w:val="00CA44F9"/>
    <w:rsid w:val="00CA4A69"/>
    <w:rsid w:val="00CB0E8F"/>
    <w:rsid w:val="00CC117E"/>
    <w:rsid w:val="00CC3E0C"/>
    <w:rsid w:val="00CC58D3"/>
    <w:rsid w:val="00CC784D"/>
    <w:rsid w:val="00D02139"/>
    <w:rsid w:val="00D0337B"/>
    <w:rsid w:val="00D079B2"/>
    <w:rsid w:val="00D114E9"/>
    <w:rsid w:val="00D31392"/>
    <w:rsid w:val="00D429C6"/>
    <w:rsid w:val="00D47748"/>
    <w:rsid w:val="00D54CC3"/>
    <w:rsid w:val="00D6041A"/>
    <w:rsid w:val="00D633EB"/>
    <w:rsid w:val="00D82FF7"/>
    <w:rsid w:val="00D847FE"/>
    <w:rsid w:val="00D94347"/>
    <w:rsid w:val="00D964EA"/>
    <w:rsid w:val="00D966D0"/>
    <w:rsid w:val="00DA0C59"/>
    <w:rsid w:val="00DA3991"/>
    <w:rsid w:val="00DB7E6C"/>
    <w:rsid w:val="00DD2296"/>
    <w:rsid w:val="00DD5A29"/>
    <w:rsid w:val="00DD5D9D"/>
    <w:rsid w:val="00DE35CB"/>
    <w:rsid w:val="00DF21E9"/>
    <w:rsid w:val="00DF6797"/>
    <w:rsid w:val="00E00F14"/>
    <w:rsid w:val="00E06386"/>
    <w:rsid w:val="00E24EB4"/>
    <w:rsid w:val="00E320ED"/>
    <w:rsid w:val="00E328BD"/>
    <w:rsid w:val="00E33AFB"/>
    <w:rsid w:val="00E34218"/>
    <w:rsid w:val="00E35148"/>
    <w:rsid w:val="00E46282"/>
    <w:rsid w:val="00E5216E"/>
    <w:rsid w:val="00E82344"/>
    <w:rsid w:val="00E84C82"/>
    <w:rsid w:val="00E84D64"/>
    <w:rsid w:val="00E87408"/>
    <w:rsid w:val="00E914C4"/>
    <w:rsid w:val="00E934F5"/>
    <w:rsid w:val="00E96961"/>
    <w:rsid w:val="00EA72EC"/>
    <w:rsid w:val="00EB11CB"/>
    <w:rsid w:val="00EB275A"/>
    <w:rsid w:val="00EB786A"/>
    <w:rsid w:val="00EC1578"/>
    <w:rsid w:val="00EC1C72"/>
    <w:rsid w:val="00EC3CC9"/>
    <w:rsid w:val="00EC680A"/>
    <w:rsid w:val="00EE2BED"/>
    <w:rsid w:val="00EE374B"/>
    <w:rsid w:val="00F048A6"/>
    <w:rsid w:val="00F11BB5"/>
    <w:rsid w:val="00F1417B"/>
    <w:rsid w:val="00F34B99"/>
    <w:rsid w:val="00F401FC"/>
    <w:rsid w:val="00F52DAB"/>
    <w:rsid w:val="00F543F0"/>
    <w:rsid w:val="00F70B60"/>
    <w:rsid w:val="00F77B4E"/>
    <w:rsid w:val="00F81D29"/>
    <w:rsid w:val="00F91C4D"/>
    <w:rsid w:val="00F92FD9"/>
    <w:rsid w:val="00F96C17"/>
    <w:rsid w:val="00FA6684"/>
    <w:rsid w:val="00FA731E"/>
    <w:rsid w:val="00FB0E0B"/>
    <w:rsid w:val="00FB2B38"/>
    <w:rsid w:val="00FB7F3F"/>
    <w:rsid w:val="00FC6358"/>
    <w:rsid w:val="00FD1B30"/>
    <w:rsid w:val="00FD320D"/>
    <w:rsid w:val="00FE04D8"/>
    <w:rsid w:val="00FE23DE"/>
    <w:rsid w:val="01BA4A72"/>
    <w:rsid w:val="027B71A1"/>
    <w:rsid w:val="076D6405"/>
    <w:rsid w:val="077C7757"/>
    <w:rsid w:val="095348AF"/>
    <w:rsid w:val="098568AC"/>
    <w:rsid w:val="09B33B73"/>
    <w:rsid w:val="09F0703D"/>
    <w:rsid w:val="0B0B14E5"/>
    <w:rsid w:val="0B340513"/>
    <w:rsid w:val="0D43391C"/>
    <w:rsid w:val="0D6F08DA"/>
    <w:rsid w:val="0DB46B63"/>
    <w:rsid w:val="0E5E584D"/>
    <w:rsid w:val="10072DFF"/>
    <w:rsid w:val="13C767D0"/>
    <w:rsid w:val="13D053C0"/>
    <w:rsid w:val="16896663"/>
    <w:rsid w:val="181C47A3"/>
    <w:rsid w:val="195F304D"/>
    <w:rsid w:val="1BD27BBD"/>
    <w:rsid w:val="1C875224"/>
    <w:rsid w:val="1C9034B2"/>
    <w:rsid w:val="1D601A2B"/>
    <w:rsid w:val="1EE06223"/>
    <w:rsid w:val="243A0EE4"/>
    <w:rsid w:val="250057B8"/>
    <w:rsid w:val="260502D2"/>
    <w:rsid w:val="266A5413"/>
    <w:rsid w:val="2C2559C2"/>
    <w:rsid w:val="2C2A47BA"/>
    <w:rsid w:val="2DDF2B66"/>
    <w:rsid w:val="305234D7"/>
    <w:rsid w:val="30BD44D6"/>
    <w:rsid w:val="319131EC"/>
    <w:rsid w:val="33540A95"/>
    <w:rsid w:val="35F94992"/>
    <w:rsid w:val="37BB5893"/>
    <w:rsid w:val="39D51CD8"/>
    <w:rsid w:val="3AB90A53"/>
    <w:rsid w:val="3B9138A4"/>
    <w:rsid w:val="3DEE27DF"/>
    <w:rsid w:val="40350A17"/>
    <w:rsid w:val="4382058C"/>
    <w:rsid w:val="46CF089B"/>
    <w:rsid w:val="470042C0"/>
    <w:rsid w:val="47D1077A"/>
    <w:rsid w:val="47E92112"/>
    <w:rsid w:val="4A0E32C9"/>
    <w:rsid w:val="4B241FA6"/>
    <w:rsid w:val="4E4E6225"/>
    <w:rsid w:val="50184DBB"/>
    <w:rsid w:val="548F4AFD"/>
    <w:rsid w:val="549440D6"/>
    <w:rsid w:val="5827438B"/>
    <w:rsid w:val="595C4A83"/>
    <w:rsid w:val="5A9E0F0B"/>
    <w:rsid w:val="5DE229D0"/>
    <w:rsid w:val="5E2E52B0"/>
    <w:rsid w:val="5F7D62ED"/>
    <w:rsid w:val="63467680"/>
    <w:rsid w:val="648A749E"/>
    <w:rsid w:val="649F5080"/>
    <w:rsid w:val="650D2B51"/>
    <w:rsid w:val="65234302"/>
    <w:rsid w:val="65567FAF"/>
    <w:rsid w:val="66F34861"/>
    <w:rsid w:val="67891E54"/>
    <w:rsid w:val="68CD3B06"/>
    <w:rsid w:val="6DC1538B"/>
    <w:rsid w:val="6FCA6304"/>
    <w:rsid w:val="6FDE6CF1"/>
    <w:rsid w:val="6FE67503"/>
    <w:rsid w:val="701D3A29"/>
    <w:rsid w:val="70315672"/>
    <w:rsid w:val="75470B29"/>
    <w:rsid w:val="76436F48"/>
    <w:rsid w:val="768B5306"/>
    <w:rsid w:val="78560DDA"/>
    <w:rsid w:val="7D2A08DB"/>
    <w:rsid w:val="7D465BC6"/>
    <w:rsid w:val="7DCE6768"/>
    <w:rsid w:val="7DF24E35"/>
    <w:rsid w:val="7FB714E9"/>
    <w:rsid w:val="7FD94AE3"/>
    <w:rsid w:val="7FEB11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3">
    <w:name w:val="heading 2"/>
    <w:basedOn w:val="1"/>
    <w:next w:val="1"/>
    <w:link w:val="15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34">
    <w:name w:val="Default Paragraph Font"/>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semiHidden/>
    <w:qFormat/>
    <w:uiPriority w:val="0"/>
    <w:pPr>
      <w:tabs>
        <w:tab w:val="right" w:leader="dot" w:pos="9241"/>
      </w:tabs>
      <w:ind w:firstLine="505" w:firstLineChars="500"/>
      <w:jc w:val="left"/>
    </w:pPr>
    <w:rPr>
      <w:rFonts w:ascii="宋体"/>
      <w:szCs w:val="21"/>
    </w:r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semiHidden/>
    <w:qFormat/>
    <w:uiPriority w:val="0"/>
    <w:pPr>
      <w:shd w:val="clear" w:color="auto" w:fill="000080"/>
    </w:pPr>
  </w:style>
  <w:style w:type="paragraph" w:styleId="10">
    <w:name w:val="annotation text"/>
    <w:basedOn w:val="1"/>
    <w:qFormat/>
    <w:uiPriority w:val="0"/>
    <w:pPr>
      <w:jc w:val="left"/>
    </w:pPr>
  </w:style>
  <w:style w:type="paragraph" w:styleId="11">
    <w:name w:val="index 6"/>
    <w:basedOn w:val="1"/>
    <w:next w:val="1"/>
    <w:qFormat/>
    <w:uiPriority w:val="0"/>
    <w:pPr>
      <w:ind w:left="1260" w:hanging="210"/>
      <w:jc w:val="left"/>
    </w:pPr>
    <w:rPr>
      <w:rFonts w:ascii="Calibri" w:hAnsi="Calibri"/>
      <w:sz w:val="20"/>
      <w:szCs w:val="20"/>
    </w:rPr>
  </w:style>
  <w:style w:type="paragraph" w:styleId="12">
    <w:name w:val="index 4"/>
    <w:basedOn w:val="1"/>
    <w:next w:val="1"/>
    <w:qFormat/>
    <w:uiPriority w:val="0"/>
    <w:pPr>
      <w:ind w:left="840" w:hanging="210"/>
      <w:jc w:val="left"/>
    </w:pPr>
    <w:rPr>
      <w:rFonts w:ascii="Calibri" w:hAnsi="Calibri"/>
      <w:sz w:val="20"/>
      <w:szCs w:val="20"/>
    </w:rPr>
  </w:style>
  <w:style w:type="paragraph" w:styleId="13">
    <w:name w:val="toc 5"/>
    <w:basedOn w:val="1"/>
    <w:next w:val="1"/>
    <w:semiHidden/>
    <w:qFormat/>
    <w:uiPriority w:val="0"/>
    <w:pPr>
      <w:tabs>
        <w:tab w:val="right" w:leader="dot" w:pos="9241"/>
      </w:tabs>
      <w:ind w:firstLine="300" w:firstLineChars="300"/>
      <w:jc w:val="left"/>
    </w:pPr>
    <w:rPr>
      <w:rFonts w:ascii="宋体"/>
      <w:szCs w:val="21"/>
    </w:rPr>
  </w:style>
  <w:style w:type="paragraph" w:styleId="14">
    <w:name w:val="toc 3"/>
    <w:basedOn w:val="1"/>
    <w:next w:val="1"/>
    <w:qFormat/>
    <w:uiPriority w:val="39"/>
    <w:pPr>
      <w:tabs>
        <w:tab w:val="right" w:leader="dot" w:pos="9241"/>
      </w:tabs>
      <w:ind w:firstLine="102" w:firstLineChars="100"/>
      <w:jc w:val="left"/>
    </w:pPr>
    <w:rPr>
      <w:rFonts w:ascii="宋体"/>
      <w:szCs w:val="21"/>
    </w:rPr>
  </w:style>
  <w:style w:type="paragraph" w:styleId="15">
    <w:name w:val="toc 8"/>
    <w:basedOn w:val="1"/>
    <w:next w:val="1"/>
    <w:semiHidden/>
    <w:qFormat/>
    <w:uiPriority w:val="0"/>
    <w:pPr>
      <w:tabs>
        <w:tab w:val="right" w:leader="dot" w:pos="9241"/>
      </w:tabs>
      <w:ind w:firstLine="607" w:firstLineChars="600"/>
      <w:jc w:val="left"/>
    </w:pPr>
    <w:rPr>
      <w:rFonts w:ascii="宋体"/>
      <w:szCs w:val="21"/>
    </w:rPr>
  </w:style>
  <w:style w:type="paragraph" w:styleId="16">
    <w:name w:val="index 3"/>
    <w:basedOn w:val="1"/>
    <w:next w:val="1"/>
    <w:qFormat/>
    <w:uiPriority w:val="0"/>
    <w:pPr>
      <w:ind w:left="630" w:hanging="210"/>
      <w:jc w:val="left"/>
    </w:pPr>
    <w:rPr>
      <w:rFonts w:ascii="Calibri" w:hAnsi="Calibri"/>
      <w:sz w:val="20"/>
      <w:szCs w:val="20"/>
    </w:rPr>
  </w:style>
  <w:style w:type="paragraph" w:styleId="17">
    <w:name w:val="endnote text"/>
    <w:basedOn w:val="1"/>
    <w:semiHidden/>
    <w:qFormat/>
    <w:uiPriority w:val="0"/>
    <w:pPr>
      <w:snapToGrid w:val="0"/>
      <w:jc w:val="left"/>
    </w:pPr>
  </w:style>
  <w:style w:type="paragraph" w:styleId="18">
    <w:name w:val="footer"/>
    <w:basedOn w:val="1"/>
    <w:qFormat/>
    <w:uiPriority w:val="0"/>
    <w:pPr>
      <w:snapToGrid w:val="0"/>
      <w:ind w:right="210" w:rightChars="100"/>
      <w:jc w:val="right"/>
    </w:pPr>
    <w:rPr>
      <w:sz w:val="18"/>
      <w:szCs w:val="18"/>
    </w:rPr>
  </w:style>
  <w:style w:type="paragraph" w:styleId="19">
    <w:name w:val="header"/>
    <w:basedOn w:val="1"/>
    <w:qFormat/>
    <w:uiPriority w:val="0"/>
    <w:pPr>
      <w:snapToGrid w:val="0"/>
      <w:jc w:val="left"/>
    </w:pPr>
    <w:rPr>
      <w:sz w:val="18"/>
      <w:szCs w:val="18"/>
    </w:rPr>
  </w:style>
  <w:style w:type="paragraph" w:styleId="20">
    <w:name w:val="toc 1"/>
    <w:basedOn w:val="1"/>
    <w:next w:val="1"/>
    <w:qFormat/>
    <w:uiPriority w:val="39"/>
    <w:pPr>
      <w:tabs>
        <w:tab w:val="right" w:leader="dot" w:pos="9241"/>
      </w:tabs>
      <w:spacing w:beforeLines="25" w:afterLines="25"/>
      <w:jc w:val="left"/>
    </w:pPr>
    <w:rPr>
      <w:rFonts w:ascii="宋体"/>
      <w:szCs w:val="21"/>
    </w:rPr>
  </w:style>
  <w:style w:type="paragraph" w:styleId="21">
    <w:name w:val="toc 4"/>
    <w:basedOn w:val="1"/>
    <w:next w:val="1"/>
    <w:semiHidden/>
    <w:qFormat/>
    <w:uiPriority w:val="0"/>
    <w:pPr>
      <w:tabs>
        <w:tab w:val="right" w:leader="dot" w:pos="9241"/>
      </w:tabs>
      <w:ind w:firstLine="198" w:firstLineChars="200"/>
      <w:jc w:val="left"/>
    </w:pPr>
    <w:rPr>
      <w:rFonts w:ascii="宋体"/>
      <w:szCs w:val="21"/>
    </w:rPr>
  </w:style>
  <w:style w:type="paragraph" w:styleId="22">
    <w:name w:val="index heading"/>
    <w:basedOn w:val="1"/>
    <w:next w:val="23"/>
    <w:qFormat/>
    <w:uiPriority w:val="0"/>
    <w:pPr>
      <w:spacing w:before="120" w:after="120"/>
      <w:jc w:val="center"/>
    </w:pPr>
    <w:rPr>
      <w:rFonts w:ascii="Calibri" w:hAnsi="Calibri"/>
      <w:b/>
      <w:bCs/>
      <w:iCs/>
      <w:szCs w:val="20"/>
    </w:rPr>
  </w:style>
  <w:style w:type="paragraph" w:styleId="23">
    <w:name w:val="index 1"/>
    <w:basedOn w:val="1"/>
    <w:next w:val="24"/>
    <w:qFormat/>
    <w:uiPriority w:val="0"/>
    <w:pPr>
      <w:tabs>
        <w:tab w:val="right" w:leader="dot" w:pos="9299"/>
      </w:tabs>
      <w:jc w:val="left"/>
    </w:pPr>
    <w:rPr>
      <w:rFonts w:ascii="宋体"/>
      <w:szCs w:val="21"/>
    </w:rPr>
  </w:style>
  <w:style w:type="paragraph" w:customStyle="1" w:styleId="24">
    <w:name w:val="段"/>
    <w:link w:val="4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5">
    <w:name w:val="footnote text"/>
    <w:basedOn w:val="1"/>
    <w:qFormat/>
    <w:uiPriority w:val="0"/>
    <w:pPr>
      <w:numPr>
        <w:ilvl w:val="0"/>
        <w:numId w:val="1"/>
      </w:numPr>
      <w:snapToGrid w:val="0"/>
      <w:jc w:val="left"/>
    </w:pPr>
    <w:rPr>
      <w:rFonts w:ascii="宋体"/>
      <w:sz w:val="18"/>
      <w:szCs w:val="18"/>
    </w:rPr>
  </w:style>
  <w:style w:type="paragraph" w:styleId="26">
    <w:name w:val="toc 6"/>
    <w:basedOn w:val="1"/>
    <w:next w:val="1"/>
    <w:semiHidden/>
    <w:qFormat/>
    <w:uiPriority w:val="0"/>
    <w:pPr>
      <w:tabs>
        <w:tab w:val="right" w:leader="dot" w:pos="9241"/>
      </w:tabs>
      <w:ind w:firstLine="403" w:firstLineChars="400"/>
      <w:jc w:val="left"/>
    </w:pPr>
    <w:rPr>
      <w:rFonts w:ascii="宋体"/>
      <w:szCs w:val="21"/>
    </w:rPr>
  </w:style>
  <w:style w:type="paragraph" w:styleId="27">
    <w:name w:val="index 7"/>
    <w:basedOn w:val="1"/>
    <w:next w:val="1"/>
    <w:qFormat/>
    <w:uiPriority w:val="0"/>
    <w:pPr>
      <w:ind w:left="1470" w:hanging="210"/>
      <w:jc w:val="left"/>
    </w:pPr>
    <w:rPr>
      <w:rFonts w:ascii="Calibri" w:hAnsi="Calibri"/>
      <w:sz w:val="20"/>
      <w:szCs w:val="20"/>
    </w:rPr>
  </w:style>
  <w:style w:type="paragraph" w:styleId="28">
    <w:name w:val="index 9"/>
    <w:basedOn w:val="1"/>
    <w:next w:val="1"/>
    <w:qFormat/>
    <w:uiPriority w:val="0"/>
    <w:pPr>
      <w:ind w:left="1890" w:hanging="210"/>
      <w:jc w:val="left"/>
    </w:pPr>
    <w:rPr>
      <w:rFonts w:ascii="Calibri" w:hAnsi="Calibri"/>
      <w:sz w:val="20"/>
      <w:szCs w:val="20"/>
    </w:rPr>
  </w:style>
  <w:style w:type="paragraph" w:styleId="29">
    <w:name w:val="toc 2"/>
    <w:basedOn w:val="1"/>
    <w:next w:val="1"/>
    <w:qFormat/>
    <w:uiPriority w:val="39"/>
    <w:pPr>
      <w:tabs>
        <w:tab w:val="right" w:leader="dot" w:pos="9241"/>
      </w:tabs>
    </w:pPr>
    <w:rPr>
      <w:rFonts w:ascii="宋体"/>
      <w:szCs w:val="21"/>
    </w:rPr>
  </w:style>
  <w:style w:type="paragraph" w:styleId="30">
    <w:name w:val="toc 9"/>
    <w:basedOn w:val="1"/>
    <w:next w:val="1"/>
    <w:semiHidden/>
    <w:qFormat/>
    <w:uiPriority w:val="0"/>
    <w:pPr>
      <w:ind w:left="1470"/>
      <w:jc w:val="left"/>
    </w:pPr>
    <w:rPr>
      <w:sz w:val="20"/>
      <w:szCs w:val="20"/>
    </w:rPr>
  </w:style>
  <w:style w:type="paragraph" w:styleId="31">
    <w:name w:val="index 2"/>
    <w:basedOn w:val="1"/>
    <w:next w:val="1"/>
    <w:qFormat/>
    <w:uiPriority w:val="0"/>
    <w:pPr>
      <w:ind w:left="420" w:hanging="210"/>
      <w:jc w:val="left"/>
    </w:pPr>
    <w:rPr>
      <w:rFonts w:ascii="Calibri" w:hAnsi="Calibri"/>
      <w:sz w:val="20"/>
      <w:szCs w:val="20"/>
    </w:rPr>
  </w:style>
  <w:style w:type="table" w:styleId="33">
    <w:name w:val="Table Grid"/>
    <w:basedOn w:val="32"/>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Strong"/>
    <w:basedOn w:val="34"/>
    <w:qFormat/>
    <w:uiPriority w:val="0"/>
    <w:rPr>
      <w:b/>
    </w:rPr>
  </w:style>
  <w:style w:type="character" w:styleId="36">
    <w:name w:val="endnote reference"/>
    <w:basedOn w:val="34"/>
    <w:semiHidden/>
    <w:qFormat/>
    <w:uiPriority w:val="0"/>
    <w:rPr>
      <w:vertAlign w:val="superscript"/>
    </w:rPr>
  </w:style>
  <w:style w:type="character" w:styleId="37">
    <w:name w:val="page number"/>
    <w:basedOn w:val="34"/>
    <w:qFormat/>
    <w:uiPriority w:val="0"/>
    <w:rPr>
      <w:rFonts w:ascii="Times New Roman" w:hAnsi="Times New Roman" w:eastAsia="宋体"/>
      <w:sz w:val="18"/>
    </w:rPr>
  </w:style>
  <w:style w:type="character" w:styleId="38">
    <w:name w:val="FollowedHyperlink"/>
    <w:basedOn w:val="34"/>
    <w:qFormat/>
    <w:uiPriority w:val="0"/>
    <w:rPr>
      <w:color w:val="800080"/>
      <w:u w:val="single"/>
    </w:rPr>
  </w:style>
  <w:style w:type="character" w:styleId="39">
    <w:name w:val="Emphasis"/>
    <w:basedOn w:val="34"/>
    <w:qFormat/>
    <w:uiPriority w:val="0"/>
    <w:rPr>
      <w:i/>
    </w:rPr>
  </w:style>
  <w:style w:type="character" w:styleId="40">
    <w:name w:val="Hyperlink"/>
    <w:basedOn w:val="34"/>
    <w:qFormat/>
    <w:uiPriority w:val="99"/>
    <w:rPr>
      <w:color w:val="0000FF"/>
      <w:spacing w:val="0"/>
      <w:w w:val="100"/>
      <w:szCs w:val="21"/>
      <w:u w:val="single"/>
    </w:rPr>
  </w:style>
  <w:style w:type="character" w:styleId="41">
    <w:name w:val="HTML Code"/>
    <w:basedOn w:val="34"/>
    <w:qFormat/>
    <w:uiPriority w:val="0"/>
    <w:rPr>
      <w:rFonts w:ascii="Courier New" w:hAnsi="Courier New"/>
      <w:sz w:val="20"/>
      <w:szCs w:val="20"/>
    </w:rPr>
  </w:style>
  <w:style w:type="character" w:styleId="42">
    <w:name w:val="footnote reference"/>
    <w:basedOn w:val="34"/>
    <w:qFormat/>
    <w:uiPriority w:val="0"/>
    <w:rPr>
      <w:vertAlign w:val="superscript"/>
    </w:rPr>
  </w:style>
  <w:style w:type="character" w:customStyle="1" w:styleId="43">
    <w:name w:val="段 Char"/>
    <w:basedOn w:val="34"/>
    <w:link w:val="24"/>
    <w:qFormat/>
    <w:uiPriority w:val="0"/>
    <w:rPr>
      <w:rFonts w:ascii="宋体"/>
      <w:sz w:val="21"/>
      <w:lang w:val="en-US" w:eastAsia="zh-CN" w:bidi="ar-SA"/>
    </w:rPr>
  </w:style>
  <w:style w:type="paragraph" w:customStyle="1" w:styleId="44">
    <w:name w:val="一级条标题"/>
    <w:next w:val="24"/>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7">
    <w:name w:val="章标题"/>
    <w:next w:val="24"/>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8">
    <w:name w:val="二级条标题"/>
    <w:basedOn w:val="44"/>
    <w:next w:val="24"/>
    <w:qFormat/>
    <w:uiPriority w:val="0"/>
    <w:pPr>
      <w:numPr>
        <w:ilvl w:val="2"/>
      </w:numPr>
      <w:spacing w:before="50" w:after="50"/>
      <w:outlineLvl w:val="3"/>
    </w:pPr>
  </w:style>
  <w:style w:type="paragraph" w:customStyle="1" w:styleId="4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0">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1">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2">
    <w:name w:val="目次、标准名称标题"/>
    <w:basedOn w:val="1"/>
    <w:next w:val="2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3">
    <w:name w:val="三级条标题"/>
    <w:basedOn w:val="48"/>
    <w:next w:val="24"/>
    <w:qFormat/>
    <w:uiPriority w:val="0"/>
    <w:pPr>
      <w:numPr>
        <w:ilvl w:val="3"/>
      </w:numPr>
      <w:outlineLvl w:val="4"/>
    </w:pPr>
  </w:style>
  <w:style w:type="paragraph" w:customStyle="1" w:styleId="54">
    <w:name w:val="示例"/>
    <w:next w:val="55"/>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5">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6">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7">
    <w:name w:val="四级条标题"/>
    <w:basedOn w:val="53"/>
    <w:next w:val="24"/>
    <w:qFormat/>
    <w:uiPriority w:val="0"/>
    <w:pPr>
      <w:numPr>
        <w:ilvl w:val="4"/>
      </w:numPr>
      <w:outlineLvl w:val="5"/>
    </w:pPr>
  </w:style>
  <w:style w:type="paragraph" w:customStyle="1" w:styleId="58">
    <w:name w:val="五级条标题"/>
    <w:basedOn w:val="57"/>
    <w:next w:val="24"/>
    <w:qFormat/>
    <w:uiPriority w:val="0"/>
    <w:pPr>
      <w:numPr>
        <w:ilvl w:val="5"/>
      </w:numPr>
      <w:outlineLvl w:val="6"/>
    </w:pPr>
  </w:style>
  <w:style w:type="paragraph" w:customStyle="1" w:styleId="59">
    <w:name w:val="注："/>
    <w:next w:val="24"/>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0">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1">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2">
    <w:name w:val="列项◆（三级）"/>
    <w:basedOn w:val="1"/>
    <w:qFormat/>
    <w:uiPriority w:val="0"/>
    <w:pPr>
      <w:numPr>
        <w:ilvl w:val="2"/>
        <w:numId w:val="3"/>
      </w:numPr>
    </w:pPr>
    <w:rPr>
      <w:rFonts w:ascii="宋体"/>
      <w:szCs w:val="21"/>
    </w:rPr>
  </w:style>
  <w:style w:type="paragraph" w:customStyle="1" w:styleId="63">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4">
    <w:name w:val="示例×："/>
    <w:basedOn w:val="47"/>
    <w:qFormat/>
    <w:uiPriority w:val="0"/>
    <w:pPr>
      <w:numPr>
        <w:numId w:val="8"/>
      </w:numPr>
      <w:spacing w:beforeLines="0" w:afterLines="0"/>
      <w:outlineLvl w:val="9"/>
    </w:pPr>
    <w:rPr>
      <w:rFonts w:ascii="宋体" w:eastAsia="宋体"/>
      <w:sz w:val="18"/>
      <w:szCs w:val="18"/>
    </w:rPr>
  </w:style>
  <w:style w:type="paragraph" w:customStyle="1" w:styleId="65">
    <w:name w:val="二级无"/>
    <w:basedOn w:val="48"/>
    <w:qFormat/>
    <w:uiPriority w:val="0"/>
    <w:pPr>
      <w:spacing w:beforeLines="0" w:afterLines="0"/>
    </w:pPr>
    <w:rPr>
      <w:rFonts w:ascii="宋体" w:eastAsia="宋体"/>
    </w:rPr>
  </w:style>
  <w:style w:type="paragraph" w:customStyle="1" w:styleId="66">
    <w:name w:val="注：（正文）"/>
    <w:basedOn w:val="59"/>
    <w:next w:val="24"/>
    <w:qFormat/>
    <w:uiPriority w:val="0"/>
  </w:style>
  <w:style w:type="paragraph" w:customStyle="1" w:styleId="67">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0">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1">
    <w:name w:val="标准书眉_偶数页"/>
    <w:basedOn w:val="46"/>
    <w:next w:val="1"/>
    <w:qFormat/>
    <w:uiPriority w:val="0"/>
    <w:pPr>
      <w:jc w:val="left"/>
    </w:pPr>
  </w:style>
  <w:style w:type="paragraph" w:customStyle="1" w:styleId="72">
    <w:name w:val="标准书眉一"/>
    <w:qFormat/>
    <w:uiPriority w:val="0"/>
    <w:pPr>
      <w:jc w:val="both"/>
    </w:pPr>
    <w:rPr>
      <w:rFonts w:ascii="Times New Roman" w:hAnsi="Times New Roman" w:eastAsia="宋体" w:cs="Times New Roman"/>
      <w:lang w:val="en-US" w:eastAsia="zh-CN" w:bidi="ar-SA"/>
    </w:rPr>
  </w:style>
  <w:style w:type="paragraph" w:customStyle="1" w:styleId="73">
    <w:name w:val="参考文献"/>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4">
    <w:name w:val="参考文献、索引标题"/>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5">
    <w:name w:val="发布"/>
    <w:basedOn w:val="34"/>
    <w:qFormat/>
    <w:uiPriority w:val="0"/>
    <w:rPr>
      <w:rFonts w:ascii="黑体" w:eastAsia="黑体"/>
      <w:spacing w:val="85"/>
      <w:w w:val="100"/>
      <w:position w:val="3"/>
      <w:sz w:val="28"/>
      <w:szCs w:val="28"/>
    </w:rPr>
  </w:style>
  <w:style w:type="paragraph" w:customStyle="1" w:styleId="76">
    <w:name w:val="发布部门"/>
    <w:next w:val="2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7">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1">
    <w:name w:val="封面标准英文名称"/>
    <w:basedOn w:val="80"/>
    <w:qFormat/>
    <w:uiPriority w:val="0"/>
    <w:pPr>
      <w:framePr w:wrap="around"/>
      <w:spacing w:before="370" w:line="400" w:lineRule="exact"/>
    </w:pPr>
    <w:rPr>
      <w:rFonts w:ascii="Times New Roman"/>
      <w:sz w:val="28"/>
      <w:szCs w:val="28"/>
    </w:rPr>
  </w:style>
  <w:style w:type="paragraph" w:customStyle="1" w:styleId="82">
    <w:name w:val="封面一致性程度标识"/>
    <w:basedOn w:val="81"/>
    <w:qFormat/>
    <w:uiPriority w:val="0"/>
    <w:pPr>
      <w:framePr w:wrap="around"/>
      <w:spacing w:before="440"/>
    </w:pPr>
    <w:rPr>
      <w:rFonts w:ascii="宋体" w:eastAsia="宋体"/>
    </w:rPr>
  </w:style>
  <w:style w:type="paragraph" w:customStyle="1" w:styleId="83">
    <w:name w:val="封面标准文稿类别"/>
    <w:basedOn w:val="82"/>
    <w:qFormat/>
    <w:uiPriority w:val="0"/>
    <w:pPr>
      <w:framePr w:wrap="around"/>
      <w:spacing w:after="160" w:line="240" w:lineRule="auto"/>
    </w:pPr>
    <w:rPr>
      <w:sz w:val="24"/>
    </w:rPr>
  </w:style>
  <w:style w:type="paragraph" w:customStyle="1" w:styleId="84">
    <w:name w:val="封面标准文稿编辑信息"/>
    <w:basedOn w:val="83"/>
    <w:qFormat/>
    <w:uiPriority w:val="0"/>
    <w:pPr>
      <w:framePr w:wrap="around"/>
      <w:spacing w:before="180" w:line="180" w:lineRule="exact"/>
    </w:pPr>
    <w:rPr>
      <w:sz w:val="21"/>
    </w:rPr>
  </w:style>
  <w:style w:type="paragraph" w:customStyle="1" w:styleId="85">
    <w:name w:val="封面正文"/>
    <w:qFormat/>
    <w:uiPriority w:val="0"/>
    <w:pPr>
      <w:jc w:val="both"/>
    </w:pPr>
    <w:rPr>
      <w:rFonts w:ascii="Times New Roman" w:hAnsi="Times New Roman" w:eastAsia="宋体" w:cs="Times New Roman"/>
      <w:lang w:val="en-US" w:eastAsia="zh-CN" w:bidi="ar-SA"/>
    </w:rPr>
  </w:style>
  <w:style w:type="paragraph" w:customStyle="1" w:styleId="86">
    <w:name w:val="附录标识"/>
    <w:basedOn w:val="1"/>
    <w:next w:val="24"/>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7">
    <w:name w:val="附录标题"/>
    <w:basedOn w:val="24"/>
    <w:next w:val="24"/>
    <w:qFormat/>
    <w:uiPriority w:val="0"/>
    <w:pPr>
      <w:ind w:firstLine="0" w:firstLineChars="0"/>
      <w:jc w:val="center"/>
    </w:pPr>
    <w:rPr>
      <w:rFonts w:ascii="黑体" w:eastAsia="黑体"/>
    </w:rPr>
  </w:style>
  <w:style w:type="paragraph" w:customStyle="1" w:styleId="88">
    <w:name w:val="附录表标号"/>
    <w:basedOn w:val="1"/>
    <w:next w:val="24"/>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9">
    <w:name w:val="附录表标题"/>
    <w:basedOn w:val="1"/>
    <w:next w:val="24"/>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90">
    <w:name w:val="附录二级条标题"/>
    <w:basedOn w:val="1"/>
    <w:next w:val="24"/>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1">
    <w:name w:val="附录二级无"/>
    <w:basedOn w:val="90"/>
    <w:qFormat/>
    <w:uiPriority w:val="0"/>
    <w:pPr>
      <w:tabs>
        <w:tab w:val="clear" w:pos="360"/>
      </w:tabs>
      <w:spacing w:beforeLines="0" w:afterLines="0"/>
    </w:pPr>
    <w:rPr>
      <w:rFonts w:ascii="宋体" w:eastAsia="宋体"/>
      <w:szCs w:val="21"/>
    </w:rPr>
  </w:style>
  <w:style w:type="paragraph" w:customStyle="1" w:styleId="92">
    <w:name w:val="附录公式"/>
    <w:basedOn w:val="24"/>
    <w:next w:val="24"/>
    <w:link w:val="93"/>
    <w:qFormat/>
    <w:uiPriority w:val="0"/>
  </w:style>
  <w:style w:type="character" w:customStyle="1" w:styleId="93">
    <w:name w:val="附录公式 Char"/>
    <w:basedOn w:val="43"/>
    <w:link w:val="92"/>
    <w:qFormat/>
    <w:uiPriority w:val="0"/>
    <w:rPr>
      <w:rFonts w:ascii="宋体"/>
      <w:sz w:val="21"/>
      <w:lang w:val="en-US" w:eastAsia="zh-CN" w:bidi="ar-SA"/>
    </w:rPr>
  </w:style>
  <w:style w:type="paragraph" w:customStyle="1" w:styleId="94">
    <w:name w:val="附录公式编号制表符"/>
    <w:basedOn w:val="1"/>
    <w:next w:val="24"/>
    <w:qFormat/>
    <w:uiPriority w:val="0"/>
    <w:pPr>
      <w:widowControl/>
      <w:tabs>
        <w:tab w:val="center" w:pos="4201"/>
        <w:tab w:val="right" w:leader="dot" w:pos="9298"/>
      </w:tabs>
      <w:autoSpaceDE w:val="0"/>
      <w:autoSpaceDN w:val="0"/>
    </w:pPr>
    <w:rPr>
      <w:rFonts w:ascii="宋体"/>
      <w:kern w:val="0"/>
      <w:szCs w:val="20"/>
    </w:rPr>
  </w:style>
  <w:style w:type="paragraph" w:customStyle="1" w:styleId="95">
    <w:name w:val="附录三级条标题"/>
    <w:basedOn w:val="90"/>
    <w:next w:val="24"/>
    <w:qFormat/>
    <w:uiPriority w:val="0"/>
    <w:pPr>
      <w:numPr>
        <w:ilvl w:val="4"/>
      </w:numPr>
      <w:outlineLvl w:val="4"/>
    </w:pPr>
  </w:style>
  <w:style w:type="paragraph" w:customStyle="1" w:styleId="96">
    <w:name w:val="附录三级无"/>
    <w:basedOn w:val="95"/>
    <w:qFormat/>
    <w:uiPriority w:val="0"/>
    <w:pPr>
      <w:tabs>
        <w:tab w:val="clear" w:pos="360"/>
      </w:tabs>
      <w:spacing w:beforeLines="0" w:afterLines="0"/>
    </w:pPr>
    <w:rPr>
      <w:rFonts w:ascii="宋体" w:eastAsia="宋体"/>
      <w:szCs w:val="21"/>
    </w:rPr>
  </w:style>
  <w:style w:type="paragraph" w:customStyle="1" w:styleId="97">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8">
    <w:name w:val="附录四级条标题"/>
    <w:basedOn w:val="95"/>
    <w:next w:val="24"/>
    <w:qFormat/>
    <w:uiPriority w:val="0"/>
    <w:pPr>
      <w:numPr>
        <w:ilvl w:val="5"/>
      </w:numPr>
      <w:outlineLvl w:val="5"/>
    </w:pPr>
  </w:style>
  <w:style w:type="paragraph" w:customStyle="1" w:styleId="99">
    <w:name w:val="附录四级无"/>
    <w:basedOn w:val="98"/>
    <w:qFormat/>
    <w:uiPriority w:val="0"/>
    <w:pPr>
      <w:tabs>
        <w:tab w:val="clear" w:pos="360"/>
      </w:tabs>
      <w:spacing w:beforeLines="0" w:afterLines="0"/>
    </w:pPr>
    <w:rPr>
      <w:rFonts w:ascii="宋体" w:eastAsia="宋体"/>
      <w:szCs w:val="21"/>
    </w:rPr>
  </w:style>
  <w:style w:type="paragraph" w:customStyle="1" w:styleId="100">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01">
    <w:name w:val="附录图标题"/>
    <w:basedOn w:val="1"/>
    <w:next w:val="24"/>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02">
    <w:name w:val="附录五级条标题"/>
    <w:basedOn w:val="98"/>
    <w:next w:val="24"/>
    <w:qFormat/>
    <w:uiPriority w:val="0"/>
    <w:pPr>
      <w:numPr>
        <w:ilvl w:val="6"/>
      </w:numPr>
      <w:outlineLvl w:val="6"/>
    </w:pPr>
  </w:style>
  <w:style w:type="paragraph" w:customStyle="1" w:styleId="103">
    <w:name w:val="附录五级无"/>
    <w:basedOn w:val="102"/>
    <w:qFormat/>
    <w:uiPriority w:val="0"/>
    <w:pPr>
      <w:tabs>
        <w:tab w:val="clear" w:pos="360"/>
      </w:tabs>
      <w:spacing w:beforeLines="0" w:afterLines="0"/>
    </w:pPr>
    <w:rPr>
      <w:rFonts w:ascii="宋体" w:eastAsia="宋体"/>
      <w:szCs w:val="21"/>
    </w:rPr>
  </w:style>
  <w:style w:type="paragraph" w:customStyle="1" w:styleId="104">
    <w:name w:val="附录章标题"/>
    <w:next w:val="24"/>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5">
    <w:name w:val="附录一级条标题"/>
    <w:basedOn w:val="104"/>
    <w:next w:val="24"/>
    <w:qFormat/>
    <w:uiPriority w:val="0"/>
    <w:pPr>
      <w:numPr>
        <w:ilvl w:val="2"/>
      </w:numPr>
      <w:autoSpaceDN w:val="0"/>
      <w:spacing w:beforeLines="50" w:afterLines="50"/>
      <w:outlineLvl w:val="2"/>
    </w:pPr>
  </w:style>
  <w:style w:type="paragraph" w:customStyle="1" w:styleId="106">
    <w:name w:val="附录一级无"/>
    <w:basedOn w:val="105"/>
    <w:qFormat/>
    <w:uiPriority w:val="0"/>
    <w:pPr>
      <w:tabs>
        <w:tab w:val="clear" w:pos="360"/>
      </w:tabs>
      <w:spacing w:beforeLines="0" w:afterLines="0"/>
    </w:pPr>
    <w:rPr>
      <w:rFonts w:ascii="宋体" w:eastAsia="宋体"/>
      <w:szCs w:val="21"/>
    </w:rPr>
  </w:style>
  <w:style w:type="paragraph" w:customStyle="1" w:styleId="107">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8">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9">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1">
    <w:name w:val="其他标准标志"/>
    <w:basedOn w:val="68"/>
    <w:qFormat/>
    <w:uiPriority w:val="0"/>
    <w:pPr>
      <w:framePr w:w="6101" w:wrap="around" w:vAnchor="page" w:hAnchor="page" w:x="4673" w:y="942"/>
    </w:pPr>
    <w:rPr>
      <w:w w:val="130"/>
    </w:rPr>
  </w:style>
  <w:style w:type="paragraph" w:customStyle="1" w:styleId="11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3">
    <w:name w:val="其他发布部门"/>
    <w:basedOn w:val="76"/>
    <w:qFormat/>
    <w:uiPriority w:val="0"/>
    <w:pPr>
      <w:framePr w:wrap="around" w:y="15310"/>
      <w:spacing w:line="0" w:lineRule="atLeast"/>
    </w:pPr>
    <w:rPr>
      <w:rFonts w:ascii="黑体" w:eastAsia="黑体"/>
      <w:b w:val="0"/>
    </w:rPr>
  </w:style>
  <w:style w:type="paragraph" w:customStyle="1" w:styleId="114">
    <w:name w:val="前言、引言标题"/>
    <w:next w:val="2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5">
    <w:name w:val="三级无"/>
    <w:basedOn w:val="53"/>
    <w:qFormat/>
    <w:uiPriority w:val="0"/>
    <w:pPr>
      <w:spacing w:beforeLines="0" w:afterLines="0"/>
    </w:pPr>
    <w:rPr>
      <w:rFonts w:ascii="宋体" w:eastAsia="宋体"/>
    </w:rPr>
  </w:style>
  <w:style w:type="paragraph" w:customStyle="1" w:styleId="116">
    <w:name w:val="实施日期"/>
    <w:basedOn w:val="77"/>
    <w:qFormat/>
    <w:uiPriority w:val="0"/>
    <w:pPr>
      <w:framePr w:wrap="around" w:vAnchor="page" w:hAnchor="text"/>
      <w:jc w:val="right"/>
    </w:pPr>
  </w:style>
  <w:style w:type="paragraph" w:customStyle="1" w:styleId="117">
    <w:name w:val="示例后文字"/>
    <w:basedOn w:val="24"/>
    <w:next w:val="24"/>
    <w:qFormat/>
    <w:uiPriority w:val="0"/>
    <w:pPr>
      <w:ind w:firstLine="360"/>
    </w:pPr>
    <w:rPr>
      <w:sz w:val="18"/>
    </w:rPr>
  </w:style>
  <w:style w:type="paragraph" w:customStyle="1" w:styleId="118">
    <w:name w:val="首示例"/>
    <w:next w:val="24"/>
    <w:link w:val="119"/>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9">
    <w:name w:val="首示例 Char"/>
    <w:basedOn w:val="34"/>
    <w:link w:val="118"/>
    <w:qFormat/>
    <w:uiPriority w:val="0"/>
    <w:rPr>
      <w:rFonts w:ascii="宋体" w:hAnsi="宋体"/>
      <w:kern w:val="2"/>
      <w:sz w:val="18"/>
      <w:szCs w:val="18"/>
      <w:lang w:val="en-US" w:eastAsia="zh-CN" w:bidi="ar-SA"/>
    </w:rPr>
  </w:style>
  <w:style w:type="paragraph" w:customStyle="1" w:styleId="120">
    <w:name w:val="四级无"/>
    <w:basedOn w:val="57"/>
    <w:qFormat/>
    <w:uiPriority w:val="0"/>
    <w:pPr>
      <w:spacing w:beforeLines="0" w:afterLines="0"/>
    </w:pPr>
    <w:rPr>
      <w:rFonts w:ascii="宋体" w:eastAsia="宋体"/>
    </w:rPr>
  </w:style>
  <w:style w:type="paragraph" w:customStyle="1" w:styleId="121">
    <w:name w:val="条文脚注"/>
    <w:basedOn w:val="25"/>
    <w:qFormat/>
    <w:uiPriority w:val="0"/>
    <w:pPr>
      <w:numPr>
        <w:numId w:val="0"/>
      </w:numPr>
      <w:tabs>
        <w:tab w:val="clear" w:pos="0"/>
      </w:tabs>
      <w:jc w:val="both"/>
    </w:pPr>
  </w:style>
  <w:style w:type="paragraph" w:customStyle="1" w:styleId="122">
    <w:name w:val="图标脚注说明"/>
    <w:basedOn w:val="24"/>
    <w:qFormat/>
    <w:uiPriority w:val="0"/>
    <w:pPr>
      <w:ind w:left="840" w:hanging="420" w:firstLineChars="0"/>
    </w:pPr>
    <w:rPr>
      <w:sz w:val="18"/>
      <w:szCs w:val="18"/>
    </w:rPr>
  </w:style>
  <w:style w:type="paragraph" w:customStyle="1" w:styleId="123">
    <w:name w:val="图表脚注说明"/>
    <w:basedOn w:val="1"/>
    <w:qFormat/>
    <w:uiPriority w:val="0"/>
    <w:pPr>
      <w:numPr>
        <w:ilvl w:val="0"/>
        <w:numId w:val="15"/>
      </w:numPr>
    </w:pPr>
    <w:rPr>
      <w:rFonts w:ascii="宋体"/>
      <w:sz w:val="18"/>
      <w:szCs w:val="18"/>
    </w:rPr>
  </w:style>
  <w:style w:type="paragraph" w:customStyle="1" w:styleId="124">
    <w:name w:val="图的脚注"/>
    <w:next w:val="2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6">
    <w:name w:val="五级无"/>
    <w:basedOn w:val="58"/>
    <w:qFormat/>
    <w:uiPriority w:val="0"/>
    <w:pPr>
      <w:spacing w:beforeLines="0" w:afterLines="0"/>
    </w:pPr>
    <w:rPr>
      <w:rFonts w:ascii="宋体" w:eastAsia="宋体"/>
    </w:rPr>
  </w:style>
  <w:style w:type="paragraph" w:customStyle="1" w:styleId="127">
    <w:name w:val="一级无"/>
    <w:basedOn w:val="44"/>
    <w:qFormat/>
    <w:uiPriority w:val="0"/>
    <w:pPr>
      <w:spacing w:beforeLines="0" w:afterLines="0"/>
    </w:pPr>
    <w:rPr>
      <w:rFonts w:ascii="宋体" w:eastAsia="宋体"/>
    </w:rPr>
  </w:style>
  <w:style w:type="paragraph" w:customStyle="1" w:styleId="128">
    <w:name w:val="正文表标题"/>
    <w:next w:val="24"/>
    <w:qFormat/>
    <w:uiPriority w:val="0"/>
    <w:pPr>
      <w:numPr>
        <w:ilvl w:val="0"/>
        <w:numId w:val="16"/>
      </w:numPr>
      <w:tabs>
        <w:tab w:val="left" w:pos="360"/>
      </w:tabs>
      <w:spacing w:beforeLines="50" w:afterLines="50"/>
      <w:ind w:left="0"/>
      <w:jc w:val="center"/>
    </w:pPr>
    <w:rPr>
      <w:rFonts w:ascii="黑体" w:hAnsi="Times New Roman" w:eastAsia="黑体" w:cs="Times New Roman"/>
      <w:sz w:val="21"/>
      <w:lang w:val="en-US" w:eastAsia="zh-CN" w:bidi="ar-SA"/>
    </w:rPr>
  </w:style>
  <w:style w:type="paragraph" w:customStyle="1" w:styleId="129">
    <w:name w:val="正文公式编号制表符"/>
    <w:basedOn w:val="24"/>
    <w:next w:val="24"/>
    <w:qFormat/>
    <w:uiPriority w:val="0"/>
    <w:pPr>
      <w:ind w:firstLine="0" w:firstLineChars="0"/>
    </w:pPr>
  </w:style>
  <w:style w:type="paragraph" w:customStyle="1" w:styleId="130">
    <w:name w:val="正文图标题"/>
    <w:next w:val="24"/>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1">
    <w:name w:val="终结线"/>
    <w:basedOn w:val="1"/>
    <w:qFormat/>
    <w:uiPriority w:val="0"/>
    <w:pPr>
      <w:framePr w:hSpace="181" w:vSpace="181" w:wrap="around" w:vAnchor="text" w:hAnchor="margin" w:xAlign="center" w:y="285"/>
    </w:pPr>
  </w:style>
  <w:style w:type="paragraph" w:customStyle="1" w:styleId="132">
    <w:name w:val="其他发布日期"/>
    <w:basedOn w:val="77"/>
    <w:qFormat/>
    <w:uiPriority w:val="0"/>
    <w:pPr>
      <w:framePr w:wrap="around" w:vAnchor="page" w:hAnchor="text" w:x="1419"/>
    </w:pPr>
  </w:style>
  <w:style w:type="paragraph" w:customStyle="1" w:styleId="133">
    <w:name w:val="其他实施日期"/>
    <w:basedOn w:val="116"/>
    <w:qFormat/>
    <w:uiPriority w:val="0"/>
    <w:pPr>
      <w:framePr w:wrap="around"/>
    </w:pPr>
  </w:style>
  <w:style w:type="paragraph" w:customStyle="1" w:styleId="134">
    <w:name w:val="封面标准名称2"/>
    <w:basedOn w:val="80"/>
    <w:qFormat/>
    <w:uiPriority w:val="0"/>
    <w:pPr>
      <w:framePr w:wrap="around" w:y="4469"/>
      <w:spacing w:beforeLines="630"/>
    </w:pPr>
  </w:style>
  <w:style w:type="paragraph" w:customStyle="1" w:styleId="135">
    <w:name w:val="封面标准英文名称2"/>
    <w:basedOn w:val="81"/>
    <w:qFormat/>
    <w:uiPriority w:val="0"/>
    <w:pPr>
      <w:framePr w:wrap="around" w:y="4469"/>
    </w:pPr>
  </w:style>
  <w:style w:type="paragraph" w:customStyle="1" w:styleId="136">
    <w:name w:val="封面一致性程度标识2"/>
    <w:basedOn w:val="82"/>
    <w:qFormat/>
    <w:uiPriority w:val="0"/>
    <w:pPr>
      <w:framePr w:wrap="around" w:y="4469"/>
    </w:pPr>
  </w:style>
  <w:style w:type="paragraph" w:customStyle="1" w:styleId="137">
    <w:name w:val="封面标准文稿类别2"/>
    <w:basedOn w:val="83"/>
    <w:qFormat/>
    <w:uiPriority w:val="0"/>
    <w:pPr>
      <w:framePr w:wrap="around" w:y="4469"/>
    </w:pPr>
  </w:style>
  <w:style w:type="paragraph" w:customStyle="1" w:styleId="138">
    <w:name w:val="封面标准文稿编辑信息2"/>
    <w:basedOn w:val="84"/>
    <w:qFormat/>
    <w:uiPriority w:val="0"/>
    <w:pPr>
      <w:framePr w:wrap="around" w:y="4469"/>
    </w:pPr>
  </w:style>
  <w:style w:type="character" w:customStyle="1" w:styleId="139">
    <w:name w:val="font11"/>
    <w:basedOn w:val="34"/>
    <w:qFormat/>
    <w:uiPriority w:val="0"/>
    <w:rPr>
      <w:rFonts w:hint="eastAsia" w:ascii="宋体" w:hAnsi="宋体" w:eastAsia="宋体" w:cs="宋体"/>
      <w:color w:val="000000"/>
      <w:sz w:val="18"/>
      <w:szCs w:val="18"/>
      <w:u w:val="none"/>
    </w:rPr>
  </w:style>
  <w:style w:type="character" w:customStyle="1" w:styleId="140">
    <w:name w:val="bsharetext"/>
    <w:basedOn w:val="34"/>
    <w:qFormat/>
    <w:uiPriority w:val="0"/>
  </w:style>
  <w:style w:type="character" w:customStyle="1" w:styleId="141">
    <w:name w:val="bzmc"/>
    <w:basedOn w:val="34"/>
    <w:qFormat/>
    <w:uiPriority w:val="0"/>
  </w:style>
  <w:style w:type="character" w:customStyle="1" w:styleId="142">
    <w:name w:val="bzmc1"/>
    <w:basedOn w:val="34"/>
    <w:qFormat/>
    <w:uiPriority w:val="0"/>
  </w:style>
  <w:style w:type="character" w:customStyle="1" w:styleId="143">
    <w:name w:val="bzmc2"/>
    <w:basedOn w:val="34"/>
    <w:qFormat/>
    <w:uiPriority w:val="0"/>
  </w:style>
  <w:style w:type="character" w:customStyle="1" w:styleId="144">
    <w:name w:val="thisit"/>
    <w:basedOn w:val="34"/>
    <w:qFormat/>
    <w:uiPriority w:val="0"/>
  </w:style>
  <w:style w:type="character" w:customStyle="1" w:styleId="145">
    <w:name w:val="f_r6"/>
    <w:basedOn w:val="34"/>
    <w:qFormat/>
    <w:uiPriority w:val="0"/>
  </w:style>
  <w:style w:type="character" w:customStyle="1" w:styleId="146">
    <w:name w:val="sysj"/>
    <w:basedOn w:val="34"/>
    <w:qFormat/>
    <w:uiPriority w:val="0"/>
  </w:style>
  <w:style w:type="character" w:customStyle="1" w:styleId="147">
    <w:name w:val="bzrq"/>
    <w:basedOn w:val="34"/>
    <w:qFormat/>
    <w:uiPriority w:val="0"/>
  </w:style>
  <w:style w:type="character" w:customStyle="1" w:styleId="148">
    <w:name w:val="font01"/>
    <w:basedOn w:val="34"/>
    <w:qFormat/>
    <w:uiPriority w:val="0"/>
    <w:rPr>
      <w:rFonts w:hint="eastAsia" w:ascii="宋体" w:hAnsi="宋体" w:eastAsia="宋体" w:cs="宋体"/>
      <w:color w:val="000000"/>
      <w:sz w:val="22"/>
      <w:szCs w:val="22"/>
      <w:u w:val="none"/>
    </w:rPr>
  </w:style>
  <w:style w:type="character" w:customStyle="1" w:styleId="149">
    <w:name w:val="font21"/>
    <w:basedOn w:val="34"/>
    <w:qFormat/>
    <w:uiPriority w:val="0"/>
    <w:rPr>
      <w:rFonts w:hint="eastAsia" w:ascii="宋体" w:hAnsi="宋体" w:eastAsia="宋体" w:cs="宋体"/>
      <w:color w:val="FF0000"/>
      <w:sz w:val="22"/>
      <w:szCs w:val="22"/>
      <w:u w:val="none"/>
    </w:rPr>
  </w:style>
  <w:style w:type="character" w:customStyle="1" w:styleId="150">
    <w:name w:val="f_r"/>
    <w:basedOn w:val="34"/>
    <w:qFormat/>
    <w:uiPriority w:val="0"/>
  </w:style>
  <w:style w:type="character" w:customStyle="1" w:styleId="151">
    <w:name w:val="标题 2 Char"/>
    <w:basedOn w:val="34"/>
    <w:link w:val="3"/>
    <w:semiHidden/>
    <w:qFormat/>
    <w:uiPriority w:val="0"/>
    <w:rPr>
      <w:rFonts w:asciiTheme="majorHAnsi" w:hAnsiTheme="majorHAnsi" w:eastAsiaTheme="majorEastAsia" w:cstheme="majorBidi"/>
      <w:b/>
      <w:bCs/>
      <w:kern w:val="2"/>
      <w:sz w:val="32"/>
      <w:szCs w:val="3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7"/>
    <customShpInfo spid="_x0000_s2056"/>
    <customShpInfo spid="_x0000_s2055"/>
    <customShpInfo spid="_x0000_s1026"/>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65BE0-C7FD-4C52-A930-50B8E37C5125}">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24</Pages>
  <Words>7133</Words>
  <Characters>14193</Characters>
  <Lines>83</Lines>
  <Paragraphs>34</Paragraphs>
  <TotalTime>117</TotalTime>
  <ScaleCrop>false</ScaleCrop>
  <LinksUpToDate>false</LinksUpToDate>
  <CharactersWithSpaces>14943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2017-07-10T08:51:00Z</dcterms:created>
  <dc:creator>CNIS</dc:creator>
  <cp:lastModifiedBy>Administrator</cp:lastModifiedBy>
  <cp:lastPrinted>2021-08-12T01:00:00Z</cp:lastPrinted>
  <dcterms:modified xsi:type="dcterms:W3CDTF">2022-10-11T07:54:27Z</dcterms:modified>
  <dc:title>标准名称</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660CA4792F454768BEF11D55B1F83483</vt:lpwstr>
  </property>
</Properties>
</file>