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C51" w:rsidRDefault="00EB5C51">
      <w:pPr>
        <w:spacing w:line="600" w:lineRule="exact"/>
        <w:jc w:val="left"/>
        <w:outlineLvl w:val="0"/>
        <w:rPr>
          <w:rFonts w:ascii="方正小标宋简体" w:eastAsia="方正小标宋简体" w:hAnsi="宋体"/>
          <w:szCs w:val="21"/>
        </w:rPr>
      </w:pPr>
      <w:bookmarkStart w:id="0" w:name="_Toc15306267"/>
    </w:p>
    <w:p w:rsidR="00EB5C51" w:rsidRDefault="00EB5C51">
      <w:pPr>
        <w:pStyle w:val="a0"/>
        <w:spacing w:before="93"/>
      </w:pPr>
    </w:p>
    <w:p w:rsidR="00EB5C51" w:rsidRDefault="00EB5C51">
      <w:pPr>
        <w:spacing w:line="600" w:lineRule="exact"/>
        <w:jc w:val="center"/>
        <w:outlineLvl w:val="0"/>
        <w:rPr>
          <w:rFonts w:ascii="方正小标宋简体" w:eastAsia="方正小标宋简体" w:hAnsi="宋体"/>
          <w:sz w:val="72"/>
          <w:szCs w:val="72"/>
        </w:rPr>
      </w:pPr>
    </w:p>
    <w:p w:rsidR="00EB5C51" w:rsidRDefault="00EB5C51">
      <w:pPr>
        <w:spacing w:line="600" w:lineRule="exact"/>
        <w:jc w:val="center"/>
        <w:outlineLvl w:val="0"/>
        <w:rPr>
          <w:rFonts w:ascii="方正小标宋简体" w:eastAsia="方正小标宋简体" w:hAnsi="宋体"/>
          <w:sz w:val="72"/>
          <w:szCs w:val="72"/>
        </w:rPr>
      </w:pPr>
    </w:p>
    <w:p w:rsidR="00EB5C51" w:rsidRDefault="000E23EF">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425"/>
      <w:bookmarkStart w:id="2" w:name="_Toc15377193"/>
      <w:bookmarkStart w:id="3" w:name="_Toc15396475"/>
      <w:bookmarkStart w:id="4" w:name="_Toc15396597"/>
      <w:bookmarkStart w:id="5" w:name="_Toc15378441"/>
      <w:r>
        <w:rPr>
          <w:rFonts w:ascii="方正小标宋简体" w:eastAsia="方正小标宋简体" w:hAnsi="方正小标宋简体" w:cs="方正小标宋简体" w:hint="eastAsia"/>
          <w:sz w:val="72"/>
          <w:szCs w:val="72"/>
        </w:rPr>
        <w:t>2023年度</w:t>
      </w:r>
      <w:bookmarkEnd w:id="1"/>
      <w:bookmarkEnd w:id="2"/>
      <w:bookmarkEnd w:id="3"/>
      <w:bookmarkEnd w:id="4"/>
      <w:bookmarkEnd w:id="5"/>
    </w:p>
    <w:p w:rsidR="00EB5C51" w:rsidRDefault="000E23EF">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476"/>
      <w:bookmarkStart w:id="7" w:name="_Toc15378442"/>
      <w:bookmarkStart w:id="8" w:name="_Toc15396598"/>
      <w:bookmarkStart w:id="9" w:name="_Toc15377426"/>
      <w:bookmarkStart w:id="10" w:name="_Toc15306268"/>
      <w:bookmarkStart w:id="11" w:name="_Toc15377194"/>
      <w:bookmarkEnd w:id="0"/>
      <w:r>
        <w:rPr>
          <w:rFonts w:ascii="方正小标宋简体" w:eastAsia="方正小标宋简体" w:hAnsi="方正小标宋简体" w:cs="方正小标宋简体" w:hint="eastAsia"/>
          <w:sz w:val="72"/>
          <w:szCs w:val="72"/>
        </w:rPr>
        <w:t>攀枝花市攀西无公害农产品监测中心决算</w:t>
      </w:r>
      <w:bookmarkEnd w:id="6"/>
      <w:bookmarkEnd w:id="7"/>
      <w:bookmarkEnd w:id="8"/>
      <w:bookmarkEnd w:id="9"/>
      <w:bookmarkEnd w:id="10"/>
      <w:bookmarkEnd w:id="11"/>
    </w:p>
    <w:p w:rsidR="00EB5C51" w:rsidRDefault="000E23EF">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EB5C51" w:rsidRDefault="00EB5C51">
      <w:pPr>
        <w:widowControl/>
        <w:jc w:val="center"/>
        <w:rPr>
          <w:rFonts w:ascii="黑体" w:eastAsia="黑体" w:hAnsi="黑体" w:cstheme="minorBidi"/>
          <w:sz w:val="28"/>
          <w:szCs w:val="28"/>
        </w:rPr>
      </w:pPr>
    </w:p>
    <w:p w:rsidR="00EB5C51" w:rsidRDefault="000E23EF">
      <w:pPr>
        <w:pStyle w:val="10"/>
      </w:pPr>
      <w:r>
        <w:rPr>
          <w:rFonts w:hint="eastAsia"/>
        </w:rPr>
        <w:t>公开时间：2023年9月19日</w:t>
      </w:r>
    </w:p>
    <w:p w:rsidR="00EB5C51" w:rsidRDefault="00EB5C51"/>
    <w:p w:rsidR="00EB5C51" w:rsidRDefault="000E23EF">
      <w:pPr>
        <w:pStyle w:val="10"/>
        <w:tabs>
          <w:tab w:val="center" w:leader="dot" w:pos="8296"/>
        </w:tabs>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hint="eastAsia"/>
          <w:sz w:val="24"/>
        </w:rPr>
        <w:tab/>
        <w:t>4</w:t>
      </w:r>
    </w:p>
    <w:p w:rsidR="00EB5C51" w:rsidRDefault="000E23EF">
      <w:pPr>
        <w:pStyle w:val="20"/>
        <w:tabs>
          <w:tab w:val="center" w:leader="dot" w:pos="8296"/>
        </w:tabs>
        <w:adjustRightInd w:val="0"/>
        <w:snapToGrid w:val="0"/>
        <w:spacing w:line="440" w:lineRule="exact"/>
        <w:jc w:val="left"/>
        <w:rPr>
          <w:sz w:val="24"/>
        </w:rPr>
      </w:pPr>
      <w:r>
        <w:rPr>
          <w:rFonts w:hint="eastAsia"/>
          <w:sz w:val="24"/>
        </w:rPr>
        <w:t>一、主要职责</w:t>
      </w:r>
      <w:r>
        <w:rPr>
          <w:rFonts w:hint="eastAsia"/>
          <w:sz w:val="24"/>
        </w:rPr>
        <w:tab/>
        <w:t>4</w:t>
      </w:r>
    </w:p>
    <w:p w:rsidR="00EB5C51" w:rsidRDefault="000E23EF">
      <w:pPr>
        <w:pStyle w:val="20"/>
        <w:tabs>
          <w:tab w:val="center" w:leader="dot" w:pos="8296"/>
        </w:tabs>
        <w:adjustRightInd w:val="0"/>
        <w:snapToGrid w:val="0"/>
        <w:spacing w:line="440" w:lineRule="exact"/>
        <w:jc w:val="left"/>
      </w:pPr>
      <w:r>
        <w:rPr>
          <w:rFonts w:hint="eastAsia"/>
          <w:sz w:val="24"/>
        </w:rPr>
        <w:t>二、机构设置</w:t>
      </w:r>
      <w:r>
        <w:rPr>
          <w:rFonts w:hint="eastAsia"/>
          <w:sz w:val="24"/>
        </w:rPr>
        <w:tab/>
        <w:t>4</w:t>
      </w:r>
    </w:p>
    <w:p w:rsidR="00EB5C51" w:rsidRDefault="000E23EF">
      <w:pPr>
        <w:pStyle w:val="10"/>
        <w:tabs>
          <w:tab w:val="center" w:leader="dot" w:pos="8296"/>
        </w:tabs>
        <w:adjustRightInd w:val="0"/>
        <w:snapToGrid w:val="0"/>
        <w:spacing w:before="0" w:line="440" w:lineRule="exact"/>
        <w:jc w:val="left"/>
        <w:rPr>
          <w:sz w:val="24"/>
          <w:szCs w:val="24"/>
        </w:rPr>
      </w:pPr>
      <w:r>
        <w:rPr>
          <w:rFonts w:hint="eastAsia"/>
          <w:sz w:val="24"/>
        </w:rPr>
        <w:t>第二部分 2023年度单位决算情况说明</w:t>
      </w:r>
      <w:r>
        <w:rPr>
          <w:rFonts w:hint="eastAsia"/>
          <w:sz w:val="24"/>
        </w:rPr>
        <w:tab/>
        <w:t>5</w:t>
      </w:r>
    </w:p>
    <w:p w:rsidR="00EB5C51" w:rsidRDefault="000E23EF">
      <w:pPr>
        <w:pStyle w:val="20"/>
        <w:tabs>
          <w:tab w:val="center" w:leader="dot" w:pos="8296"/>
        </w:tabs>
        <w:adjustRightInd w:val="0"/>
        <w:snapToGrid w:val="0"/>
        <w:spacing w:line="440" w:lineRule="exact"/>
        <w:jc w:val="left"/>
        <w:rPr>
          <w:rFonts w:ascii="仿宋" w:hAnsi="仿宋" w:cstheme="minorBidi"/>
          <w:sz w:val="24"/>
        </w:rPr>
      </w:pPr>
      <w:r>
        <w:rPr>
          <w:rFonts w:hint="eastAsia"/>
          <w:sz w:val="24"/>
        </w:rPr>
        <w:t>一、收入支出决算总体情况说明</w:t>
      </w:r>
      <w:r>
        <w:rPr>
          <w:rFonts w:hint="eastAsia"/>
          <w:sz w:val="24"/>
        </w:rPr>
        <w:tab/>
        <w:t>5</w:t>
      </w:r>
    </w:p>
    <w:p w:rsidR="00EB5C51" w:rsidRDefault="000E23EF">
      <w:pPr>
        <w:pStyle w:val="20"/>
        <w:tabs>
          <w:tab w:val="center" w:leader="dot" w:pos="8296"/>
        </w:tabs>
        <w:adjustRightInd w:val="0"/>
        <w:snapToGrid w:val="0"/>
        <w:spacing w:line="440" w:lineRule="exact"/>
        <w:jc w:val="left"/>
        <w:rPr>
          <w:rFonts w:ascii="仿宋" w:hAnsi="仿宋" w:cstheme="minorBidi"/>
          <w:sz w:val="24"/>
        </w:rPr>
      </w:pPr>
      <w:r>
        <w:rPr>
          <w:rFonts w:hint="eastAsia"/>
          <w:sz w:val="24"/>
        </w:rPr>
        <w:t>二、收入决算情况说明</w:t>
      </w:r>
      <w:r>
        <w:rPr>
          <w:rFonts w:hint="eastAsia"/>
          <w:sz w:val="24"/>
        </w:rPr>
        <w:tab/>
        <w:t>5</w:t>
      </w:r>
    </w:p>
    <w:p w:rsidR="00EB5C51" w:rsidRDefault="000E23EF">
      <w:pPr>
        <w:pStyle w:val="20"/>
        <w:tabs>
          <w:tab w:val="center" w:leader="dot" w:pos="8296"/>
        </w:tabs>
        <w:adjustRightInd w:val="0"/>
        <w:snapToGrid w:val="0"/>
        <w:spacing w:line="440" w:lineRule="exact"/>
        <w:jc w:val="left"/>
        <w:rPr>
          <w:rFonts w:ascii="仿宋" w:hAnsi="仿宋" w:cstheme="minorBidi"/>
          <w:sz w:val="24"/>
        </w:rPr>
      </w:pPr>
      <w:r>
        <w:rPr>
          <w:rFonts w:hint="eastAsia"/>
          <w:sz w:val="24"/>
        </w:rPr>
        <w:t>三、支出决算情况说明</w:t>
      </w:r>
      <w:r>
        <w:rPr>
          <w:rFonts w:hint="eastAsia"/>
          <w:sz w:val="24"/>
        </w:rPr>
        <w:tab/>
        <w:t>6</w:t>
      </w:r>
    </w:p>
    <w:p w:rsidR="00EB5C51" w:rsidRDefault="000E23EF">
      <w:pPr>
        <w:pStyle w:val="20"/>
        <w:tabs>
          <w:tab w:val="center" w:leader="dot" w:pos="8296"/>
        </w:tabs>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hint="eastAsia"/>
          <w:sz w:val="24"/>
        </w:rPr>
        <w:tab/>
        <w:t>7</w:t>
      </w:r>
    </w:p>
    <w:p w:rsidR="00EB5C51" w:rsidRDefault="000E23EF">
      <w:pPr>
        <w:pStyle w:val="20"/>
        <w:tabs>
          <w:tab w:val="center" w:leader="dot" w:pos="8296"/>
        </w:tabs>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hint="eastAsia"/>
          <w:sz w:val="24"/>
        </w:rPr>
        <w:tab/>
        <w:t>7</w:t>
      </w:r>
    </w:p>
    <w:p w:rsidR="00EB5C51" w:rsidRDefault="000E23EF">
      <w:pPr>
        <w:pStyle w:val="20"/>
        <w:tabs>
          <w:tab w:val="center" w:leader="dot" w:pos="8296"/>
        </w:tabs>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hint="eastAsia"/>
          <w:sz w:val="24"/>
        </w:rPr>
        <w:tab/>
        <w:t>10</w:t>
      </w:r>
    </w:p>
    <w:p w:rsidR="00EB5C51" w:rsidRDefault="000E23EF">
      <w:pPr>
        <w:pStyle w:val="20"/>
        <w:tabs>
          <w:tab w:val="center" w:leader="dot" w:pos="8296"/>
        </w:tabs>
        <w:adjustRightInd w:val="0"/>
        <w:snapToGrid w:val="0"/>
        <w:spacing w:line="440" w:lineRule="exact"/>
        <w:jc w:val="left"/>
        <w:rPr>
          <w:rFonts w:ascii="仿宋" w:hAnsi="仿宋" w:cstheme="minorBidi"/>
          <w:sz w:val="24"/>
        </w:rPr>
      </w:pPr>
      <w:r>
        <w:rPr>
          <w:rFonts w:hint="eastAsia"/>
          <w:sz w:val="24"/>
        </w:rPr>
        <w:t>七、财政拨款“三公”经费支出决算情况说明</w:t>
      </w:r>
      <w:r>
        <w:rPr>
          <w:rFonts w:hint="eastAsia"/>
          <w:sz w:val="24"/>
        </w:rPr>
        <w:tab/>
        <w:t>10</w:t>
      </w:r>
    </w:p>
    <w:p w:rsidR="00EB5C51" w:rsidRDefault="000E23EF">
      <w:pPr>
        <w:pStyle w:val="20"/>
        <w:tabs>
          <w:tab w:val="center" w:leader="dot" w:pos="8296"/>
        </w:tabs>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hint="eastAsia"/>
          <w:sz w:val="24"/>
        </w:rPr>
        <w:tab/>
        <w:t>12</w:t>
      </w:r>
    </w:p>
    <w:p w:rsidR="00EB5C51" w:rsidRDefault="000E23EF">
      <w:pPr>
        <w:pStyle w:val="20"/>
        <w:tabs>
          <w:tab w:val="center" w:leader="dot" w:pos="8296"/>
        </w:tabs>
        <w:adjustRightInd w:val="0"/>
        <w:snapToGrid w:val="0"/>
        <w:spacing w:line="440" w:lineRule="exact"/>
        <w:jc w:val="left"/>
        <w:rPr>
          <w:sz w:val="24"/>
        </w:rPr>
      </w:pPr>
      <w:r>
        <w:rPr>
          <w:rFonts w:hint="eastAsia"/>
          <w:sz w:val="24"/>
        </w:rPr>
        <w:t>九、国有资本经营预算支出决算情况说明</w:t>
      </w:r>
      <w:r>
        <w:rPr>
          <w:rFonts w:hint="eastAsia"/>
          <w:sz w:val="24"/>
        </w:rPr>
        <w:tab/>
        <w:t>12</w:t>
      </w:r>
    </w:p>
    <w:p w:rsidR="00EB5C51" w:rsidRDefault="000E23EF">
      <w:pPr>
        <w:pStyle w:val="20"/>
        <w:tabs>
          <w:tab w:val="center" w:leader="dot" w:pos="8296"/>
        </w:tabs>
        <w:adjustRightInd w:val="0"/>
        <w:snapToGrid w:val="0"/>
        <w:spacing w:line="440" w:lineRule="exact"/>
        <w:jc w:val="left"/>
        <w:rPr>
          <w:sz w:val="24"/>
        </w:rPr>
      </w:pPr>
      <w:r>
        <w:rPr>
          <w:rFonts w:hint="eastAsia"/>
          <w:sz w:val="24"/>
        </w:rPr>
        <w:t>十、其他重要事项的情况说明</w:t>
      </w:r>
      <w:r>
        <w:rPr>
          <w:rFonts w:hint="eastAsia"/>
          <w:sz w:val="24"/>
        </w:rPr>
        <w:tab/>
        <w:t>13</w:t>
      </w:r>
    </w:p>
    <w:p w:rsidR="00EB5C51" w:rsidRDefault="000E23EF">
      <w:pPr>
        <w:pStyle w:val="10"/>
        <w:tabs>
          <w:tab w:val="center" w:leader="dot" w:pos="8296"/>
        </w:tabs>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sz w:val="24"/>
        </w:rPr>
        <w:tab/>
        <w:t>14</w:t>
      </w:r>
    </w:p>
    <w:p w:rsidR="00EB5C51" w:rsidRDefault="000E23EF">
      <w:pPr>
        <w:pStyle w:val="10"/>
        <w:tabs>
          <w:tab w:val="center" w:leader="dot" w:pos="8296"/>
        </w:tabs>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hint="eastAsia"/>
          <w:sz w:val="24"/>
        </w:rPr>
        <w:tab/>
        <w:t>17</w:t>
      </w:r>
    </w:p>
    <w:p w:rsidR="00EB5C51" w:rsidRDefault="000E23EF">
      <w:pPr>
        <w:pStyle w:val="10"/>
        <w:tabs>
          <w:tab w:val="center" w:leader="dot" w:pos="8296"/>
        </w:tabs>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一、收入支出决算总表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二、收入决算表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三、支出决算表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四、财政拨款收入支出决算总表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五、财政拨款支出决算明细表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六、一般公共预算财政拨款支出决算表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七、一般公共预算财政拨款支出决算明细表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八、一般公共预算财政拨款基本支出决算明细表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九、一般公共预算财政拨款项目支出决算表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lastRenderedPageBreak/>
        <w:t>十、政府性基金预算财政拨款收入支出决算表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十一、国有资本经营预算财政拨款收入支出决算表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十二、国有资本经营预算财政拨款支出决算表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十三、财政拨款“三公”经费支出决算表</w:t>
      </w:r>
      <w:r>
        <w:rPr>
          <w:rFonts w:hint="eastAsia"/>
          <w:sz w:val="24"/>
        </w:rPr>
        <w:tab/>
        <w:t>18</w:t>
      </w:r>
    </w:p>
    <w:p w:rsidR="00EB5C51" w:rsidRDefault="000E23EF">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EB5C51" w:rsidRDefault="000E23EF">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2"/>
      <w:bookmarkEnd w:id="13"/>
    </w:p>
    <w:p w:rsidR="00EB5C51" w:rsidRDefault="00EB5C51">
      <w:pPr>
        <w:widowControl/>
        <w:jc w:val="left"/>
        <w:rPr>
          <w:rFonts w:ascii="黑体" w:eastAsia="黑体"/>
          <w:sz w:val="32"/>
          <w:szCs w:val="32"/>
        </w:rPr>
      </w:pPr>
    </w:p>
    <w:p w:rsidR="00EB5C51" w:rsidRDefault="000E23EF">
      <w:pPr>
        <w:pStyle w:val="2"/>
        <w:numPr>
          <w:ilvl w:val="0"/>
          <w:numId w:val="1"/>
        </w:numPr>
        <w:rPr>
          <w:rStyle w:val="2Char"/>
          <w:rFonts w:ascii="黑体" w:eastAsia="黑体" w:hAnsi="黑体"/>
        </w:rPr>
      </w:pPr>
      <w:bookmarkStart w:id="14" w:name="_Toc15396600"/>
      <w:bookmarkStart w:id="15" w:name="_Toc15377197"/>
      <w:r>
        <w:rPr>
          <w:rStyle w:val="2Char"/>
          <w:rFonts w:ascii="黑体" w:eastAsia="黑体" w:hAnsi="黑体" w:hint="eastAsia"/>
        </w:rPr>
        <w:t>主要职责</w:t>
      </w:r>
    </w:p>
    <w:p w:rsidR="00EB5C51" w:rsidRDefault="000E23EF">
      <w:pPr>
        <w:ind w:firstLineChars="200" w:firstLine="640"/>
        <w:rPr>
          <w:rFonts w:eastAsia="仿宋_GB2312"/>
        </w:rPr>
      </w:pPr>
      <w:r>
        <w:rPr>
          <w:rFonts w:eastAsia="仿宋_GB2312" w:hint="eastAsia"/>
          <w:sz w:val="32"/>
          <w:szCs w:val="32"/>
        </w:rPr>
        <w:t>攀西无公害农产品监测中心是根据攀枝花市编委攀编发</w:t>
      </w:r>
      <w:r>
        <w:rPr>
          <w:rFonts w:eastAsia="仿宋_GB2312" w:hint="eastAsia"/>
          <w:sz w:val="32"/>
          <w:szCs w:val="32"/>
        </w:rPr>
        <w:t>[2002]9</w:t>
      </w:r>
      <w:r>
        <w:rPr>
          <w:rFonts w:eastAsia="仿宋_GB2312" w:hint="eastAsia"/>
          <w:sz w:val="32"/>
          <w:szCs w:val="32"/>
        </w:rPr>
        <w:t>号文件成立的，是社会公益性非盈利技术服务、财政全额拨款的副县级事业单位，独立法人，财务独立，根据攀编发</w:t>
      </w:r>
      <w:r>
        <w:rPr>
          <w:rFonts w:eastAsia="仿宋_GB2312" w:hint="eastAsia"/>
          <w:sz w:val="32"/>
          <w:szCs w:val="32"/>
        </w:rPr>
        <w:t>[2019]86</w:t>
      </w:r>
      <w:r>
        <w:rPr>
          <w:rFonts w:eastAsia="仿宋_GB2312" w:hint="eastAsia"/>
          <w:sz w:val="32"/>
          <w:szCs w:val="32"/>
        </w:rPr>
        <w:t>号文增挂攀枝花市蚕种质量检验站和攀枝花市种子质量检验站。主管部门是攀枝花市农业农村局。负责对攀西地区无公害农产品生产过程的土壤、肥料、水源、农药、饲料、兽药、大气等全方位监测以及农产品上市前的质量监测；负责提出解决生产过程中技术难题的意见和建议；参与制定攀西无公害农产品发展战略、中长期规划及年度计划；参与制定无公害农产品项目的审查、申报以及基地建设。承担全市农产品质量安全。</w:t>
      </w:r>
    </w:p>
    <w:p w:rsidR="00EB5C51" w:rsidRDefault="00EB5C51"/>
    <w:p w:rsidR="00EB5C51" w:rsidRDefault="000E23EF">
      <w:pPr>
        <w:pStyle w:val="2"/>
        <w:numPr>
          <w:ilvl w:val="0"/>
          <w:numId w:val="1"/>
        </w:numPr>
        <w:rPr>
          <w:rFonts w:ascii="黑体" w:eastAsia="黑体" w:hAnsi="黑体"/>
          <w:b w:val="0"/>
        </w:rPr>
      </w:pPr>
      <w:r>
        <w:rPr>
          <w:rFonts w:ascii="黑体" w:eastAsia="黑体" w:hAnsi="黑体" w:hint="eastAsia"/>
          <w:b w:val="0"/>
        </w:rPr>
        <w:t>机构设置</w:t>
      </w:r>
    </w:p>
    <w:p w:rsidR="00EB5C51" w:rsidRDefault="000E23EF">
      <w:pPr>
        <w:ind w:firstLineChars="200" w:firstLine="640"/>
      </w:pPr>
      <w:r>
        <w:rPr>
          <w:rFonts w:eastAsia="仿宋_GB2312" w:hint="eastAsia"/>
          <w:sz w:val="32"/>
          <w:szCs w:val="32"/>
        </w:rPr>
        <w:t>攀西无公害农产品监测中心为攀枝花市农业农村局下属二级单位，内设综合办公室、农产品检测室及畜产品检测室。</w:t>
      </w:r>
    </w:p>
    <w:bookmarkEnd w:id="14"/>
    <w:bookmarkEnd w:id="15"/>
    <w:p w:rsidR="00EB5C51" w:rsidRDefault="000E23EF">
      <w:pPr>
        <w:widowControl/>
        <w:jc w:val="left"/>
        <w:rPr>
          <w:rFonts w:ascii="仿宋" w:eastAsia="仿宋" w:hAnsi="仿宋"/>
          <w:kern w:val="0"/>
          <w:sz w:val="32"/>
          <w:szCs w:val="32"/>
        </w:rPr>
      </w:pPr>
      <w:r>
        <w:rPr>
          <w:rFonts w:ascii="仿宋" w:eastAsia="仿宋" w:hAnsi="仿宋"/>
          <w:sz w:val="32"/>
          <w:szCs w:val="32"/>
        </w:rPr>
        <w:br w:type="page"/>
      </w:r>
    </w:p>
    <w:p w:rsidR="00EB5C51" w:rsidRDefault="000E23EF">
      <w:pPr>
        <w:pStyle w:val="1"/>
        <w:ind w:right="440"/>
        <w:jc w:val="center"/>
        <w:rPr>
          <w:rStyle w:val="1Char"/>
          <w:rFonts w:ascii="黑体" w:eastAsia="黑体" w:hAnsi="黑体"/>
          <w:bCs/>
        </w:rPr>
      </w:pPr>
      <w:bookmarkStart w:id="16" w:name="_Toc15377204"/>
      <w:bookmarkStart w:id="17" w:name="_Toc15396602"/>
      <w:r>
        <w:rPr>
          <w:rFonts w:ascii="黑体" w:eastAsia="黑体" w:hAnsi="黑体" w:hint="eastAsia"/>
          <w:b w:val="0"/>
        </w:rPr>
        <w:lastRenderedPageBreak/>
        <w:t>第二部分 2023年度</w:t>
      </w:r>
      <w:r>
        <w:rPr>
          <w:rStyle w:val="1Char"/>
          <w:rFonts w:ascii="黑体" w:eastAsia="黑体" w:hAnsi="黑体" w:hint="eastAsia"/>
          <w:bCs/>
        </w:rPr>
        <w:t>单位决算情况说明</w:t>
      </w:r>
      <w:bookmarkEnd w:id="16"/>
      <w:bookmarkEnd w:id="17"/>
    </w:p>
    <w:p w:rsidR="00EB5C51" w:rsidRDefault="00EB5C51"/>
    <w:p w:rsidR="00EB5C51" w:rsidRDefault="000E23EF">
      <w:pPr>
        <w:pStyle w:val="aa"/>
        <w:numPr>
          <w:ilvl w:val="0"/>
          <w:numId w:val="2"/>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EB5C51" w:rsidRDefault="000E23EF">
      <w:pPr>
        <w:spacing w:line="600" w:lineRule="exact"/>
        <w:ind w:firstLineChars="200" w:firstLine="640"/>
        <w:rPr>
          <w:rFonts w:ascii="仿宋" w:eastAsia="仿宋" w:hAnsi="仿宋"/>
          <w:sz w:val="32"/>
          <w:szCs w:val="32"/>
        </w:rPr>
      </w:pPr>
      <w:r>
        <w:rPr>
          <w:rFonts w:ascii="仿宋" w:eastAsia="仿宋" w:hAnsi="仿宋" w:hint="eastAsia"/>
          <w:sz w:val="32"/>
          <w:szCs w:val="32"/>
        </w:rPr>
        <w:t>2023年度收、支总计均为</w:t>
      </w:r>
      <w:r>
        <w:rPr>
          <w:rFonts w:ascii="仿宋" w:eastAsia="仿宋" w:hAnsi="仿宋" w:hint="eastAsia"/>
          <w:b/>
          <w:sz w:val="32"/>
          <w:szCs w:val="32"/>
        </w:rPr>
        <w:t>482.74</w:t>
      </w:r>
      <w:r>
        <w:rPr>
          <w:rFonts w:ascii="仿宋" w:eastAsia="仿宋" w:hAnsi="仿宋" w:hint="eastAsia"/>
          <w:sz w:val="32"/>
          <w:szCs w:val="32"/>
        </w:rPr>
        <w:t>万元。与2022年度相比，收、支总计各增加</w:t>
      </w:r>
      <w:r>
        <w:rPr>
          <w:rFonts w:ascii="仿宋" w:eastAsia="仿宋" w:hAnsi="仿宋" w:hint="eastAsia"/>
          <w:b/>
          <w:bCs/>
          <w:sz w:val="32"/>
          <w:szCs w:val="32"/>
        </w:rPr>
        <w:t>41.93</w:t>
      </w:r>
      <w:r>
        <w:rPr>
          <w:rFonts w:ascii="仿宋" w:eastAsia="仿宋" w:hAnsi="仿宋" w:hint="eastAsia"/>
          <w:sz w:val="32"/>
          <w:szCs w:val="32"/>
        </w:rPr>
        <w:t>万元，增长</w:t>
      </w:r>
      <w:r>
        <w:rPr>
          <w:rFonts w:ascii="仿宋" w:eastAsia="仿宋" w:hAnsi="仿宋" w:hint="eastAsia"/>
          <w:b/>
          <w:bCs/>
          <w:sz w:val="32"/>
          <w:szCs w:val="32"/>
        </w:rPr>
        <w:t>9.51</w:t>
      </w:r>
      <w:r>
        <w:rPr>
          <w:rFonts w:ascii="仿宋" w:eastAsia="仿宋" w:hAnsi="仿宋"/>
          <w:sz w:val="32"/>
          <w:szCs w:val="32"/>
        </w:rPr>
        <w:t>%</w:t>
      </w:r>
      <w:r>
        <w:rPr>
          <w:rFonts w:ascii="仿宋" w:eastAsia="仿宋" w:hAnsi="仿宋" w:hint="eastAsia"/>
          <w:sz w:val="32"/>
          <w:szCs w:val="32"/>
        </w:rPr>
        <w:t>。主要变动原因是人员经费及项目经费增加。</w:t>
      </w:r>
    </w:p>
    <w:p w:rsidR="00EB5C51" w:rsidRDefault="000E23EF">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EB5C51" w:rsidRDefault="000E23EF">
      <w:pPr>
        <w:pStyle w:val="a0"/>
        <w:spacing w:before="93"/>
        <w:jc w:val="center"/>
      </w:pPr>
      <w:r>
        <w:rPr>
          <w:noProof/>
        </w:rPr>
        <w:drawing>
          <wp:inline distT="0" distB="0" distL="114300" distR="114300">
            <wp:extent cx="4572000" cy="2752725"/>
            <wp:effectExtent l="4445" t="4445" r="1460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5C51" w:rsidRDefault="00EB5C51">
      <w:pPr>
        <w:pStyle w:val="a0"/>
        <w:spacing w:before="93"/>
        <w:jc w:val="center"/>
      </w:pPr>
    </w:p>
    <w:p w:rsidR="00EB5C51" w:rsidRDefault="000E23EF">
      <w:pPr>
        <w:pStyle w:val="aa"/>
        <w:numPr>
          <w:ilvl w:val="0"/>
          <w:numId w:val="2"/>
        </w:numPr>
        <w:spacing w:line="600" w:lineRule="exact"/>
        <w:ind w:firstLineChars="0"/>
        <w:outlineLvl w:val="1"/>
        <w:rPr>
          <w:rStyle w:val="2Char"/>
          <w:rFonts w:ascii="黑体" w:eastAsia="黑体" w:hAnsi="黑体"/>
          <w:b w:val="0"/>
        </w:rPr>
      </w:pPr>
      <w:bookmarkStart w:id="20" w:name="_Toc15396604"/>
      <w:bookmarkStart w:id="21"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EB5C51" w:rsidRDefault="000E23EF">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2023年度本年收入合计</w:t>
      </w:r>
      <w:r>
        <w:rPr>
          <w:rFonts w:ascii="仿宋" w:eastAsia="仿宋" w:hAnsi="仿宋"/>
          <w:b/>
          <w:sz w:val="32"/>
          <w:szCs w:val="32"/>
        </w:rPr>
        <w:t>482.74</w:t>
      </w:r>
      <w:r>
        <w:rPr>
          <w:rFonts w:ascii="仿宋" w:eastAsia="仿宋" w:hAnsi="仿宋" w:hint="eastAsia"/>
          <w:sz w:val="32"/>
          <w:szCs w:val="32"/>
        </w:rPr>
        <w:t>万元，其中：一般公共预算财政拨款收入</w:t>
      </w:r>
      <w:r>
        <w:rPr>
          <w:rFonts w:ascii="仿宋" w:eastAsia="仿宋" w:hAnsi="仿宋"/>
          <w:b/>
          <w:sz w:val="32"/>
          <w:szCs w:val="32"/>
        </w:rPr>
        <w:t>482.74</w:t>
      </w:r>
      <w:r>
        <w:rPr>
          <w:rFonts w:ascii="仿宋" w:eastAsia="仿宋" w:hAnsi="仿宋" w:hint="eastAsia"/>
          <w:sz w:val="32"/>
          <w:szCs w:val="32"/>
        </w:rPr>
        <w:t>万元，占</w:t>
      </w:r>
      <w:r>
        <w:rPr>
          <w:rFonts w:ascii="仿宋" w:eastAsia="仿宋" w:hAnsi="仿宋"/>
          <w:b/>
          <w:sz w:val="32"/>
          <w:szCs w:val="32"/>
        </w:rPr>
        <w:t>100%</w:t>
      </w:r>
      <w:r>
        <w:rPr>
          <w:rFonts w:ascii="仿宋" w:eastAsia="仿宋" w:hAnsi="仿宋" w:hint="eastAsia"/>
          <w:sz w:val="32"/>
          <w:szCs w:val="32"/>
        </w:rPr>
        <w:t>；政府性基金预算财政拨款收入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；上级补助收入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；事业收入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；经营收入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；附属单位上缴收入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p>
    <w:p w:rsidR="00EB5C51" w:rsidRDefault="00EB5C51">
      <w:pPr>
        <w:spacing w:line="600" w:lineRule="exact"/>
        <w:ind w:firstLineChars="200" w:firstLine="640"/>
        <w:rPr>
          <w:rFonts w:ascii="仿宋" w:eastAsia="仿宋" w:hAnsi="仿宋"/>
          <w:sz w:val="32"/>
          <w:szCs w:val="32"/>
        </w:rPr>
      </w:pPr>
    </w:p>
    <w:p w:rsidR="00EB5C51" w:rsidRDefault="000E23EF">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（图2：收入决算结构图）（饼状图）</w:t>
      </w:r>
    </w:p>
    <w:p w:rsidR="00EB5C51" w:rsidRDefault="000E23EF">
      <w:pPr>
        <w:pStyle w:val="a0"/>
        <w:spacing w:before="93"/>
        <w:jc w:val="center"/>
      </w:pPr>
      <w:r>
        <w:rPr>
          <w:noProof/>
        </w:rP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5C51" w:rsidRDefault="00EB5C51">
      <w:pPr>
        <w:pStyle w:val="a0"/>
        <w:spacing w:before="93"/>
        <w:jc w:val="center"/>
      </w:pPr>
    </w:p>
    <w:p w:rsidR="00EB5C51" w:rsidRDefault="000E23EF">
      <w:pPr>
        <w:pStyle w:val="aa"/>
        <w:numPr>
          <w:ilvl w:val="0"/>
          <w:numId w:val="2"/>
        </w:numPr>
        <w:spacing w:line="600" w:lineRule="exact"/>
        <w:ind w:firstLineChars="0"/>
        <w:outlineLvl w:val="1"/>
        <w:rPr>
          <w:rStyle w:val="2Char"/>
          <w:rFonts w:ascii="黑体" w:eastAsia="黑体" w:hAnsi="黑体"/>
          <w:b w:val="0"/>
        </w:rPr>
      </w:pPr>
      <w:bookmarkStart w:id="22" w:name="_Toc15377207"/>
      <w:bookmarkStart w:id="23"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EB5C51" w:rsidRDefault="000E23EF">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2023年度本年支出合计</w:t>
      </w:r>
      <w:r>
        <w:rPr>
          <w:rFonts w:ascii="仿宋" w:eastAsia="仿宋" w:hAnsi="仿宋"/>
          <w:b/>
          <w:sz w:val="32"/>
          <w:szCs w:val="32"/>
        </w:rPr>
        <w:t>482.74</w:t>
      </w:r>
      <w:r>
        <w:rPr>
          <w:rFonts w:ascii="仿宋" w:eastAsia="仿宋" w:hAnsi="仿宋" w:hint="eastAsia"/>
          <w:sz w:val="32"/>
          <w:szCs w:val="32"/>
        </w:rPr>
        <w:t>万元，其中：基本支出</w:t>
      </w:r>
      <w:r>
        <w:rPr>
          <w:rFonts w:ascii="仿宋" w:eastAsia="仿宋" w:hAnsi="仿宋"/>
          <w:b/>
          <w:sz w:val="32"/>
          <w:szCs w:val="32"/>
        </w:rPr>
        <w:t>318.46</w:t>
      </w:r>
      <w:r>
        <w:rPr>
          <w:rFonts w:ascii="仿宋" w:eastAsia="仿宋" w:hAnsi="仿宋" w:hint="eastAsia"/>
          <w:sz w:val="32"/>
          <w:szCs w:val="32"/>
        </w:rPr>
        <w:t>万元，占</w:t>
      </w:r>
      <w:r>
        <w:rPr>
          <w:rFonts w:ascii="仿宋" w:eastAsia="仿宋" w:hAnsi="仿宋"/>
          <w:b/>
          <w:sz w:val="32"/>
          <w:szCs w:val="32"/>
        </w:rPr>
        <w:t>65.97</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b/>
          <w:sz w:val="32"/>
          <w:szCs w:val="32"/>
        </w:rPr>
        <w:t>164.28</w:t>
      </w:r>
      <w:r>
        <w:rPr>
          <w:rFonts w:ascii="仿宋" w:eastAsia="仿宋" w:hAnsi="仿宋" w:hint="eastAsia"/>
          <w:sz w:val="32"/>
          <w:szCs w:val="32"/>
        </w:rPr>
        <w:t>万元，占</w:t>
      </w:r>
      <w:r>
        <w:rPr>
          <w:rFonts w:ascii="仿宋" w:eastAsia="仿宋" w:hAnsi="仿宋"/>
          <w:b/>
          <w:sz w:val="32"/>
          <w:szCs w:val="32"/>
        </w:rPr>
        <w:t>34.0</w:t>
      </w:r>
      <w:r>
        <w:rPr>
          <w:rFonts w:ascii="仿宋" w:eastAsia="仿宋" w:hAnsi="仿宋" w:hint="eastAsia"/>
          <w:b/>
          <w:sz w:val="32"/>
          <w:szCs w:val="32"/>
        </w:rPr>
        <w:t>3</w:t>
      </w:r>
      <w:r>
        <w:rPr>
          <w:rFonts w:ascii="仿宋" w:eastAsia="仿宋" w:hAnsi="仿宋"/>
          <w:sz w:val="32"/>
          <w:szCs w:val="32"/>
        </w:rPr>
        <w:t>%</w:t>
      </w:r>
      <w:r>
        <w:rPr>
          <w:rFonts w:ascii="仿宋" w:eastAsia="仿宋" w:hAnsi="仿宋" w:hint="eastAsia"/>
          <w:sz w:val="32"/>
          <w:szCs w:val="32"/>
        </w:rPr>
        <w:t>；上缴上级支出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sz w:val="32"/>
          <w:szCs w:val="32"/>
        </w:rPr>
        <w:t>%</w:t>
      </w:r>
      <w:r>
        <w:rPr>
          <w:rFonts w:ascii="仿宋" w:eastAsia="仿宋" w:hAnsi="仿宋" w:hint="eastAsia"/>
          <w:sz w:val="32"/>
          <w:szCs w:val="32"/>
        </w:rPr>
        <w:t>；经营支出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；对附属单位补助支出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w:t>
      </w:r>
    </w:p>
    <w:p w:rsidR="00EB5C51" w:rsidRDefault="000E23EF">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（图3：支出决算结构图）（饼状图）</w:t>
      </w:r>
    </w:p>
    <w:p w:rsidR="00EB5C51" w:rsidRDefault="000E23EF">
      <w:pPr>
        <w:pStyle w:val="a0"/>
        <w:spacing w:before="93"/>
        <w:jc w:val="center"/>
      </w:pPr>
      <w:r>
        <w:rPr>
          <w:noProof/>
        </w:rPr>
        <w:lastRenderedPageBreak/>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5C51" w:rsidRDefault="00EB5C51">
      <w:pPr>
        <w:pStyle w:val="a0"/>
        <w:spacing w:before="93"/>
        <w:jc w:val="center"/>
      </w:pPr>
    </w:p>
    <w:p w:rsidR="00EB5C51" w:rsidRDefault="000E23EF">
      <w:pPr>
        <w:spacing w:line="600" w:lineRule="exact"/>
        <w:ind w:firstLineChars="200" w:firstLine="640"/>
        <w:outlineLvl w:val="1"/>
        <w:rPr>
          <w:rStyle w:val="2Char"/>
          <w:rFonts w:ascii="黑体" w:eastAsia="黑体" w:hAnsi="黑体"/>
          <w:b w:val="0"/>
        </w:rPr>
      </w:pPr>
      <w:bookmarkStart w:id="24" w:name="_Toc15396606"/>
      <w:bookmarkStart w:id="25"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EB5C51" w:rsidRDefault="000E23EF">
      <w:pPr>
        <w:spacing w:line="600" w:lineRule="exact"/>
        <w:ind w:firstLine="640"/>
        <w:rPr>
          <w:rFonts w:ascii="仿宋" w:eastAsia="仿宋" w:hAnsi="仿宋"/>
          <w:sz w:val="32"/>
          <w:szCs w:val="32"/>
        </w:rPr>
      </w:pPr>
      <w:r>
        <w:rPr>
          <w:rFonts w:ascii="仿宋" w:eastAsia="仿宋" w:hAnsi="仿宋" w:hint="eastAsia"/>
          <w:sz w:val="32"/>
          <w:szCs w:val="32"/>
        </w:rPr>
        <w:t>2023年度财政拨款收、支总计均为</w:t>
      </w:r>
      <w:r>
        <w:rPr>
          <w:rFonts w:ascii="仿宋" w:eastAsia="仿宋" w:hAnsi="仿宋"/>
          <w:b/>
          <w:sz w:val="32"/>
          <w:szCs w:val="32"/>
        </w:rPr>
        <w:t>482.74</w:t>
      </w:r>
      <w:r>
        <w:rPr>
          <w:rFonts w:ascii="仿宋" w:eastAsia="仿宋" w:hAnsi="仿宋" w:hint="eastAsia"/>
          <w:sz w:val="32"/>
          <w:szCs w:val="32"/>
        </w:rPr>
        <w:t>万元。与2022年度相比，财政拨款收、支总计各增加</w:t>
      </w:r>
      <w:r>
        <w:rPr>
          <w:rFonts w:ascii="仿宋" w:eastAsia="仿宋" w:hAnsi="仿宋" w:hint="eastAsia"/>
          <w:b/>
          <w:bCs/>
          <w:sz w:val="32"/>
          <w:szCs w:val="32"/>
        </w:rPr>
        <w:t>41.93</w:t>
      </w:r>
      <w:r>
        <w:rPr>
          <w:rFonts w:ascii="仿宋" w:eastAsia="仿宋" w:hAnsi="仿宋" w:hint="eastAsia"/>
          <w:sz w:val="32"/>
          <w:szCs w:val="32"/>
        </w:rPr>
        <w:t>万元，增长</w:t>
      </w:r>
      <w:r>
        <w:rPr>
          <w:rFonts w:ascii="仿宋" w:eastAsia="仿宋" w:hAnsi="仿宋" w:hint="eastAsia"/>
          <w:b/>
          <w:bCs/>
          <w:sz w:val="32"/>
          <w:szCs w:val="32"/>
        </w:rPr>
        <w:t>9.51</w:t>
      </w:r>
      <w:r>
        <w:rPr>
          <w:rFonts w:ascii="仿宋" w:eastAsia="仿宋" w:hAnsi="仿宋"/>
          <w:sz w:val="32"/>
          <w:szCs w:val="32"/>
        </w:rPr>
        <w:t>%</w:t>
      </w:r>
      <w:r>
        <w:rPr>
          <w:rFonts w:ascii="仿宋" w:eastAsia="仿宋" w:hAnsi="仿宋" w:hint="eastAsia"/>
          <w:sz w:val="32"/>
          <w:szCs w:val="32"/>
        </w:rPr>
        <w:t>。主要变动原因是人员经费及项目经费增加。</w:t>
      </w:r>
    </w:p>
    <w:p w:rsidR="00EB5C51" w:rsidRDefault="000E23EF">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EB5C51" w:rsidRDefault="000E23EF">
      <w:pPr>
        <w:pStyle w:val="a0"/>
        <w:spacing w:before="93"/>
        <w:jc w:val="center"/>
      </w:pPr>
      <w:r>
        <w:rPr>
          <w:noProof/>
        </w:rPr>
        <w:drawing>
          <wp:inline distT="0" distB="0" distL="114300" distR="114300">
            <wp:extent cx="4572000" cy="2752725"/>
            <wp:effectExtent l="4445" t="4445" r="14605" b="508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5C51" w:rsidRDefault="00EB5C51">
      <w:pPr>
        <w:pStyle w:val="a0"/>
        <w:spacing w:before="93"/>
        <w:jc w:val="center"/>
      </w:pPr>
    </w:p>
    <w:p w:rsidR="00EB5C51" w:rsidRDefault="000E23EF">
      <w:pPr>
        <w:spacing w:line="600" w:lineRule="exact"/>
        <w:ind w:firstLineChars="200" w:firstLine="640"/>
        <w:outlineLvl w:val="1"/>
        <w:rPr>
          <w:rStyle w:val="2Char"/>
          <w:rFonts w:ascii="黑体" w:eastAsia="黑体" w:hAnsi="黑体"/>
          <w:b w:val="0"/>
        </w:rPr>
      </w:pPr>
      <w:bookmarkStart w:id="26" w:name="_Toc15377209"/>
      <w:bookmarkStart w:id="27"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EB5C51" w:rsidRDefault="000E23EF">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lastRenderedPageBreak/>
        <w:t>（一）一般公共预算财政拨款支出决算总体情况</w:t>
      </w:r>
      <w:bookmarkEnd w:id="28"/>
    </w:p>
    <w:p w:rsidR="00EB5C51" w:rsidRDefault="000E23EF">
      <w:pPr>
        <w:spacing w:line="600" w:lineRule="exact"/>
        <w:ind w:firstLineChars="200" w:firstLine="640"/>
        <w:rPr>
          <w:rFonts w:ascii="仿宋" w:eastAsia="仿宋" w:hAnsi="仿宋"/>
          <w:sz w:val="32"/>
          <w:szCs w:val="32"/>
        </w:rPr>
      </w:pPr>
      <w:r>
        <w:rPr>
          <w:rFonts w:ascii="仿宋" w:eastAsia="仿宋" w:hAnsi="仿宋" w:hint="eastAsia"/>
          <w:sz w:val="32"/>
          <w:szCs w:val="32"/>
        </w:rPr>
        <w:t>2023年度一般公共预算财政拨款支出</w:t>
      </w:r>
      <w:r>
        <w:rPr>
          <w:rFonts w:ascii="仿宋" w:eastAsia="仿宋" w:hAnsi="仿宋"/>
          <w:b/>
          <w:sz w:val="32"/>
          <w:szCs w:val="32"/>
        </w:rPr>
        <w:t>482.74</w:t>
      </w:r>
      <w:r>
        <w:rPr>
          <w:rFonts w:ascii="仿宋" w:eastAsia="仿宋" w:hAnsi="仿宋" w:hint="eastAsia"/>
          <w:sz w:val="32"/>
          <w:szCs w:val="32"/>
        </w:rPr>
        <w:t>万元，占本年支出合计的</w:t>
      </w:r>
      <w:r>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。与2022年度相比，一般公共预算财政拨款支出增加</w:t>
      </w:r>
      <w:r>
        <w:rPr>
          <w:rFonts w:ascii="仿宋" w:eastAsia="仿宋" w:hAnsi="仿宋" w:hint="eastAsia"/>
          <w:b/>
          <w:bCs/>
          <w:sz w:val="32"/>
          <w:szCs w:val="32"/>
        </w:rPr>
        <w:t>41.93</w:t>
      </w:r>
      <w:r>
        <w:rPr>
          <w:rFonts w:ascii="仿宋" w:eastAsia="仿宋" w:hAnsi="仿宋" w:hint="eastAsia"/>
          <w:sz w:val="32"/>
          <w:szCs w:val="32"/>
        </w:rPr>
        <w:t>万元，增长</w:t>
      </w:r>
      <w:r>
        <w:rPr>
          <w:rFonts w:ascii="仿宋" w:eastAsia="仿宋" w:hAnsi="仿宋" w:hint="eastAsia"/>
          <w:b/>
          <w:bCs/>
          <w:sz w:val="32"/>
          <w:szCs w:val="32"/>
        </w:rPr>
        <w:t>9.51</w:t>
      </w:r>
      <w:r>
        <w:rPr>
          <w:rFonts w:ascii="仿宋" w:eastAsia="仿宋" w:hAnsi="仿宋"/>
          <w:sz w:val="32"/>
          <w:szCs w:val="32"/>
        </w:rPr>
        <w:t>%</w:t>
      </w:r>
      <w:r>
        <w:rPr>
          <w:rFonts w:ascii="仿宋" w:eastAsia="仿宋" w:hAnsi="仿宋" w:hint="eastAsia"/>
          <w:sz w:val="32"/>
          <w:szCs w:val="32"/>
        </w:rPr>
        <w:t>。主要变动原因是人员经费及项目经费增加。</w:t>
      </w:r>
    </w:p>
    <w:p w:rsidR="00EB5C51" w:rsidRDefault="000E23EF">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EB5C51" w:rsidRDefault="000E23EF">
      <w:pPr>
        <w:pStyle w:val="a0"/>
        <w:spacing w:before="93"/>
        <w:jc w:val="center"/>
      </w:pPr>
      <w:r>
        <w:rPr>
          <w:noProof/>
        </w:rPr>
        <w:drawing>
          <wp:inline distT="0" distB="0" distL="114300" distR="114300">
            <wp:extent cx="4572000" cy="2752725"/>
            <wp:effectExtent l="4445" t="4445" r="14605" b="5080"/>
            <wp:docPr id="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5C51" w:rsidRDefault="000E23EF">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EB5C51" w:rsidRDefault="000E23EF">
      <w:pPr>
        <w:spacing w:line="600" w:lineRule="exact"/>
        <w:ind w:firstLine="640"/>
        <w:rPr>
          <w:rFonts w:ascii="仿宋" w:eastAsia="仿宋" w:hAnsi="仿宋"/>
          <w:sz w:val="32"/>
          <w:szCs w:val="32"/>
        </w:rPr>
      </w:pPr>
      <w:r>
        <w:rPr>
          <w:rFonts w:ascii="仿宋" w:eastAsia="仿宋" w:hAnsi="仿宋" w:hint="eastAsia"/>
          <w:sz w:val="32"/>
          <w:szCs w:val="32"/>
        </w:rPr>
        <w:t>2023年度一般公共预算财政拨款支出</w:t>
      </w:r>
      <w:r>
        <w:rPr>
          <w:rFonts w:ascii="仿宋" w:eastAsia="仿宋" w:hAnsi="仿宋"/>
          <w:b/>
          <w:sz w:val="32"/>
          <w:szCs w:val="32"/>
        </w:rPr>
        <w:t>482.74</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Pr>
          <w:rFonts w:ascii="仿宋" w:eastAsia="仿宋" w:hAnsi="仿宋" w:hint="eastAsia"/>
          <w:b/>
          <w:bCs/>
          <w:sz w:val="32"/>
          <w:szCs w:val="32"/>
        </w:rPr>
        <w:t>55.64</w:t>
      </w:r>
      <w:r>
        <w:rPr>
          <w:rFonts w:ascii="仿宋" w:eastAsia="仿宋" w:hAnsi="仿宋" w:hint="eastAsia"/>
          <w:sz w:val="32"/>
          <w:szCs w:val="32"/>
        </w:rPr>
        <w:t>万元，占</w:t>
      </w:r>
      <w:r>
        <w:rPr>
          <w:rFonts w:ascii="仿宋" w:eastAsia="仿宋" w:hAnsi="仿宋" w:hint="eastAsia"/>
          <w:b/>
          <w:bCs/>
          <w:sz w:val="32"/>
          <w:szCs w:val="32"/>
        </w:rPr>
        <w:t>11.53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农林水（类）</w:t>
      </w:r>
      <w:r>
        <w:rPr>
          <w:rFonts w:ascii="仿宋" w:eastAsia="仿宋" w:hAnsi="仿宋" w:hint="eastAsia"/>
          <w:b/>
          <w:bCs/>
          <w:sz w:val="32"/>
          <w:szCs w:val="32"/>
        </w:rPr>
        <w:t>404.73</w:t>
      </w:r>
      <w:r>
        <w:rPr>
          <w:rFonts w:ascii="仿宋" w:eastAsia="仿宋" w:hAnsi="仿宋" w:hint="eastAsia"/>
          <w:sz w:val="32"/>
          <w:szCs w:val="32"/>
        </w:rPr>
        <w:t>万元，占</w:t>
      </w:r>
      <w:r>
        <w:rPr>
          <w:rFonts w:ascii="仿宋" w:eastAsia="仿宋" w:hAnsi="仿宋" w:hint="eastAsia"/>
          <w:b/>
          <w:bCs/>
          <w:sz w:val="32"/>
          <w:szCs w:val="32"/>
        </w:rPr>
        <w:t>83.84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住房保障（类）</w:t>
      </w:r>
      <w:r>
        <w:rPr>
          <w:rFonts w:ascii="仿宋" w:eastAsia="仿宋" w:hAnsi="仿宋" w:hint="eastAsia"/>
          <w:sz w:val="32"/>
          <w:szCs w:val="32"/>
        </w:rPr>
        <w:t>支出</w:t>
      </w:r>
      <w:r>
        <w:rPr>
          <w:rFonts w:ascii="仿宋" w:eastAsia="仿宋" w:hAnsi="仿宋" w:hint="eastAsia"/>
          <w:b/>
          <w:bCs/>
          <w:sz w:val="32"/>
          <w:szCs w:val="32"/>
        </w:rPr>
        <w:t>22.37</w:t>
      </w:r>
      <w:r>
        <w:rPr>
          <w:rFonts w:ascii="仿宋" w:eastAsia="仿宋" w:hAnsi="仿宋" w:hint="eastAsia"/>
          <w:sz w:val="32"/>
          <w:szCs w:val="32"/>
        </w:rPr>
        <w:t>万元，占</w:t>
      </w:r>
      <w:r>
        <w:rPr>
          <w:rFonts w:ascii="仿宋" w:eastAsia="仿宋" w:hAnsi="仿宋" w:hint="eastAsia"/>
          <w:b/>
          <w:bCs/>
          <w:sz w:val="32"/>
          <w:szCs w:val="32"/>
        </w:rPr>
        <w:t>4.63</w:t>
      </w:r>
      <w:r>
        <w:rPr>
          <w:rFonts w:ascii="仿宋" w:eastAsia="仿宋" w:hAnsi="仿宋"/>
          <w:sz w:val="32"/>
          <w:szCs w:val="32"/>
        </w:rPr>
        <w:t>%</w:t>
      </w:r>
      <w:r>
        <w:rPr>
          <w:rFonts w:ascii="仿宋" w:eastAsia="仿宋" w:hAnsi="仿宋" w:hint="eastAsia"/>
          <w:sz w:val="32"/>
          <w:szCs w:val="32"/>
        </w:rPr>
        <w:t>。</w:t>
      </w:r>
    </w:p>
    <w:p w:rsidR="00EB5C51" w:rsidRDefault="00EB5C51">
      <w:pPr>
        <w:spacing w:line="600" w:lineRule="exact"/>
        <w:ind w:firstLineChars="200" w:firstLine="640"/>
        <w:rPr>
          <w:rFonts w:ascii="仿宋" w:eastAsia="仿宋" w:hAnsi="仿宋"/>
          <w:sz w:val="32"/>
          <w:szCs w:val="32"/>
        </w:rPr>
      </w:pPr>
    </w:p>
    <w:p w:rsidR="00EB5C51" w:rsidRDefault="000E23EF">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EB5C51" w:rsidRDefault="00EB5C51">
      <w:pPr>
        <w:spacing w:line="600" w:lineRule="exact"/>
        <w:ind w:firstLineChars="200" w:firstLine="640"/>
        <w:rPr>
          <w:rFonts w:ascii="仿宋" w:eastAsia="仿宋" w:hAnsi="仿宋"/>
          <w:sz w:val="32"/>
          <w:szCs w:val="32"/>
        </w:rPr>
      </w:pPr>
    </w:p>
    <w:p w:rsidR="00EB5C51" w:rsidRDefault="000E23EF">
      <w:pPr>
        <w:pStyle w:val="a0"/>
        <w:spacing w:before="93"/>
        <w:jc w:val="center"/>
      </w:pPr>
      <w:r>
        <w:rPr>
          <w:noProof/>
        </w:rPr>
        <w:lastRenderedPageBreak/>
        <w:drawing>
          <wp:inline distT="0" distB="0" distL="114300" distR="114300">
            <wp:extent cx="4572000" cy="2743200"/>
            <wp:effectExtent l="4445" t="4445" r="1460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B5C51" w:rsidRDefault="000E23EF">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EB5C51" w:rsidRDefault="000E23EF">
      <w:pPr>
        <w:spacing w:line="600" w:lineRule="exact"/>
        <w:ind w:firstLineChars="200" w:firstLine="643"/>
        <w:outlineLvl w:val="2"/>
        <w:rPr>
          <w:rFonts w:ascii="仿宋" w:eastAsia="仿宋" w:hAnsi="仿宋"/>
          <w:sz w:val="32"/>
          <w:szCs w:val="32"/>
        </w:rPr>
      </w:pPr>
      <w:bookmarkStart w:id="31" w:name="_Toc15377444"/>
      <w:bookmarkStart w:id="32" w:name="_Toc15378460"/>
      <w:bookmarkStart w:id="33" w:name="_Toc15377213"/>
      <w:r>
        <w:rPr>
          <w:rFonts w:ascii="仿宋" w:eastAsia="仿宋" w:hAnsi="仿宋" w:hint="eastAsia"/>
          <w:b/>
          <w:sz w:val="32"/>
          <w:szCs w:val="32"/>
        </w:rPr>
        <w:t>2023年度一般公共预算支出决算数为</w:t>
      </w:r>
      <w:r>
        <w:rPr>
          <w:rFonts w:ascii="仿宋" w:eastAsia="仿宋" w:hAnsi="仿宋"/>
          <w:b/>
          <w:sz w:val="32"/>
          <w:szCs w:val="32"/>
        </w:rPr>
        <w:t>482.74</w:t>
      </w:r>
      <w:r>
        <w:rPr>
          <w:rFonts w:ascii="仿宋" w:eastAsia="仿宋" w:hAnsi="仿宋" w:hint="eastAsia"/>
          <w:b/>
          <w:sz w:val="32"/>
          <w:szCs w:val="32"/>
        </w:rPr>
        <w:t>万元</w:t>
      </w:r>
      <w:r>
        <w:rPr>
          <w:rFonts w:ascii="仿宋" w:eastAsia="仿宋" w:hAnsi="仿宋" w:hint="eastAsia"/>
          <w:sz w:val="32"/>
          <w:szCs w:val="32"/>
        </w:rPr>
        <w:t>，</w:t>
      </w:r>
      <w:r>
        <w:rPr>
          <w:rStyle w:val="a8"/>
          <w:rFonts w:ascii="仿宋" w:eastAsia="仿宋" w:hAnsi="仿宋" w:hint="eastAsia"/>
          <w:bCs/>
          <w:sz w:val="32"/>
          <w:szCs w:val="32"/>
        </w:rPr>
        <w:t>完成预算100.0</w:t>
      </w:r>
      <w:r>
        <w:rPr>
          <w:rStyle w:val="a8"/>
          <w:rFonts w:ascii="仿宋" w:eastAsia="仿宋" w:hAnsi="仿宋"/>
          <w:bCs/>
          <w:sz w:val="32"/>
          <w:szCs w:val="32"/>
        </w:rPr>
        <w:t>%</w:t>
      </w:r>
      <w:r>
        <w:rPr>
          <w:rStyle w:val="a8"/>
          <w:rFonts w:ascii="仿宋" w:eastAsia="仿宋" w:hAnsi="仿宋" w:hint="eastAsia"/>
          <w:bCs/>
          <w:sz w:val="32"/>
          <w:szCs w:val="32"/>
        </w:rPr>
        <w:t>。其中：</w:t>
      </w:r>
      <w:bookmarkEnd w:id="31"/>
      <w:bookmarkEnd w:id="32"/>
      <w:bookmarkEnd w:id="33"/>
    </w:p>
    <w:p w:rsidR="00EB5C51" w:rsidRDefault="000E23EF">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w:t>
      </w:r>
      <w:r>
        <w:rPr>
          <w:rStyle w:val="a8"/>
          <w:rFonts w:ascii="仿宋" w:eastAsia="仿宋" w:hAnsi="仿宋"/>
          <w:bCs/>
          <w:sz w:val="32"/>
          <w:szCs w:val="32"/>
        </w:rPr>
        <w:t>.</w:t>
      </w:r>
      <w:r>
        <w:rPr>
          <w:rStyle w:val="a8"/>
          <w:rFonts w:ascii="仿宋" w:eastAsia="仿宋" w:hAnsi="仿宋" w:hint="eastAsia"/>
          <w:bCs/>
          <w:sz w:val="32"/>
          <w:szCs w:val="32"/>
        </w:rPr>
        <w:t>社会保障和就业（类）行政事业单位养老支出（款） 事业单位离退休（项）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sz w:val="32"/>
          <w:szCs w:val="32"/>
        </w:rPr>
        <w:t>21.98</w:t>
      </w:r>
      <w:r>
        <w:rPr>
          <w:rStyle w:val="a8"/>
          <w:rFonts w:ascii="仿宋" w:eastAsia="仿宋" w:hAnsi="仿宋" w:hint="eastAsia"/>
          <w:b w:val="0"/>
          <w:bCs/>
          <w:sz w:val="32"/>
          <w:szCs w:val="32"/>
        </w:rPr>
        <w:t>万元，完成预算</w:t>
      </w:r>
      <w:r>
        <w:rPr>
          <w:rStyle w:val="a8"/>
          <w:rFonts w:ascii="仿宋" w:eastAsia="仿宋" w:hAnsi="仿宋" w:hint="eastAsia"/>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EB5C51" w:rsidRDefault="000E23EF">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2</w:t>
      </w:r>
      <w:r>
        <w:rPr>
          <w:rStyle w:val="a8"/>
          <w:rFonts w:ascii="仿宋" w:eastAsia="仿宋" w:hAnsi="仿宋"/>
          <w:bCs/>
          <w:sz w:val="32"/>
          <w:szCs w:val="32"/>
        </w:rPr>
        <w:t>.</w:t>
      </w:r>
      <w:r>
        <w:rPr>
          <w:rStyle w:val="a8"/>
          <w:rFonts w:ascii="仿宋" w:eastAsia="仿宋" w:hAnsi="仿宋" w:hint="eastAsia"/>
          <w:bCs/>
          <w:color w:val="000000"/>
          <w:sz w:val="32"/>
          <w:szCs w:val="32"/>
        </w:rPr>
        <w:t>社会保障和就业（类）行政事业单位养老支出（款）机关事业单位基本养老保险缴费（项）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sz w:val="32"/>
          <w:szCs w:val="32"/>
        </w:rPr>
        <w:t>33.07</w:t>
      </w:r>
      <w:r>
        <w:rPr>
          <w:rStyle w:val="a8"/>
          <w:rFonts w:ascii="仿宋" w:eastAsia="仿宋" w:hAnsi="仿宋" w:hint="eastAsia"/>
          <w:b w:val="0"/>
          <w:bCs/>
          <w:sz w:val="32"/>
          <w:szCs w:val="32"/>
        </w:rPr>
        <w:t>万元，完成预算</w:t>
      </w:r>
      <w:r>
        <w:rPr>
          <w:rStyle w:val="a8"/>
          <w:rFonts w:ascii="仿宋" w:eastAsia="仿宋" w:hAnsi="仿宋" w:hint="eastAsia"/>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EB5C51" w:rsidRDefault="000E23EF">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sz w:val="32"/>
          <w:szCs w:val="32"/>
        </w:rPr>
        <w:t>3.</w:t>
      </w:r>
      <w:r>
        <w:rPr>
          <w:rStyle w:val="a8"/>
          <w:rFonts w:ascii="仿宋" w:eastAsia="仿宋" w:hAnsi="仿宋" w:hint="eastAsia"/>
          <w:bCs/>
          <w:color w:val="000000"/>
          <w:sz w:val="32"/>
          <w:szCs w:val="32"/>
        </w:rPr>
        <w:t>社会保障和就业（类）人力资源和社会保障管理事务（款）其他人力资源和社会保障管理事务支出（项）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sz w:val="32"/>
          <w:szCs w:val="32"/>
        </w:rPr>
        <w:t>0.6</w:t>
      </w:r>
      <w:r>
        <w:rPr>
          <w:rStyle w:val="a8"/>
          <w:rFonts w:ascii="仿宋" w:eastAsia="仿宋" w:hAnsi="仿宋" w:hint="eastAsia"/>
          <w:b w:val="0"/>
          <w:bCs/>
          <w:sz w:val="32"/>
          <w:szCs w:val="32"/>
        </w:rPr>
        <w:t>万元，完成预算</w:t>
      </w:r>
      <w:r>
        <w:rPr>
          <w:rStyle w:val="a8"/>
          <w:rFonts w:ascii="仿宋" w:eastAsia="仿宋" w:hAnsi="仿宋" w:hint="eastAsia"/>
          <w:sz w:val="32"/>
          <w:szCs w:val="32"/>
        </w:rPr>
        <w:t>100</w:t>
      </w:r>
      <w:r>
        <w:rPr>
          <w:rStyle w:val="a8"/>
          <w:rFonts w:ascii="仿宋" w:eastAsia="仿宋" w:hAnsi="仿宋" w:hint="eastAsia"/>
          <w:b w:val="0"/>
          <w:bCs/>
          <w:sz w:val="32"/>
          <w:szCs w:val="32"/>
        </w:rPr>
        <w:t>%。</w:t>
      </w:r>
    </w:p>
    <w:p w:rsidR="00EB5C51" w:rsidRDefault="000E23EF">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sz w:val="32"/>
          <w:szCs w:val="32"/>
        </w:rPr>
        <w:t>4.农林水支出（类）农业农村（款）事业运行（项）</w:t>
      </w:r>
      <w:r>
        <w:rPr>
          <w:rStyle w:val="a8"/>
          <w:rFonts w:ascii="仿宋" w:eastAsia="仿宋" w:hAnsi="仿宋"/>
          <w:bCs/>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color w:val="000000"/>
          <w:sz w:val="32"/>
          <w:szCs w:val="32"/>
        </w:rPr>
        <w:t>240.45</w:t>
      </w:r>
      <w:r>
        <w:rPr>
          <w:rStyle w:val="a8"/>
          <w:rFonts w:ascii="仿宋" w:eastAsia="仿宋" w:hAnsi="仿宋" w:hint="eastAsia"/>
          <w:b w:val="0"/>
          <w:bCs/>
          <w:color w:val="000000"/>
          <w:sz w:val="32"/>
          <w:szCs w:val="32"/>
        </w:rPr>
        <w:t>万元，完成预算</w:t>
      </w:r>
      <w:r>
        <w:rPr>
          <w:rStyle w:val="a8"/>
          <w:rFonts w:ascii="仿宋" w:eastAsia="仿宋" w:hAnsi="仿宋" w:hint="eastAsia"/>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EB5C51" w:rsidRDefault="000E23EF">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5</w:t>
      </w:r>
      <w:r>
        <w:rPr>
          <w:rStyle w:val="a8"/>
          <w:rFonts w:ascii="仿宋" w:eastAsia="仿宋" w:hAnsi="仿宋"/>
          <w:bCs/>
          <w:color w:val="000000"/>
          <w:sz w:val="32"/>
          <w:szCs w:val="32"/>
        </w:rPr>
        <w:t>.</w:t>
      </w:r>
      <w:r>
        <w:rPr>
          <w:rStyle w:val="a8"/>
          <w:rFonts w:ascii="仿宋" w:eastAsia="仿宋" w:hAnsi="仿宋" w:hint="eastAsia"/>
          <w:bCs/>
          <w:sz w:val="32"/>
          <w:szCs w:val="32"/>
        </w:rPr>
        <w:t>农林水支出（类）农业农村（款）农产品质量安全（项）：</w:t>
      </w:r>
      <w:r>
        <w:rPr>
          <w:rStyle w:val="a8"/>
          <w:rFonts w:ascii="仿宋" w:eastAsia="仿宋" w:hAnsi="仿宋" w:hint="eastAsia"/>
          <w:b w:val="0"/>
          <w:bCs/>
          <w:color w:val="000000"/>
          <w:sz w:val="32"/>
          <w:szCs w:val="32"/>
        </w:rPr>
        <w:lastRenderedPageBreak/>
        <w:t>支出决算为</w:t>
      </w:r>
      <w:r>
        <w:rPr>
          <w:rStyle w:val="a8"/>
          <w:rFonts w:ascii="仿宋" w:eastAsia="仿宋" w:hAnsi="仿宋" w:hint="eastAsia"/>
          <w:color w:val="000000"/>
          <w:sz w:val="32"/>
          <w:szCs w:val="32"/>
        </w:rPr>
        <w:t>5</w:t>
      </w:r>
      <w:r>
        <w:rPr>
          <w:rStyle w:val="a8"/>
          <w:rFonts w:ascii="仿宋" w:eastAsia="仿宋" w:hAnsi="仿宋" w:hint="eastAsia"/>
          <w:b w:val="0"/>
          <w:bCs/>
          <w:color w:val="000000"/>
          <w:sz w:val="32"/>
          <w:szCs w:val="32"/>
        </w:rPr>
        <w:t>万元，完成预算</w:t>
      </w:r>
      <w:r>
        <w:rPr>
          <w:rStyle w:val="a8"/>
          <w:rFonts w:ascii="仿宋" w:eastAsia="仿宋" w:hAnsi="仿宋" w:hint="eastAsia"/>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EB5C51" w:rsidRDefault="000E23EF">
      <w:pPr>
        <w:spacing w:line="600" w:lineRule="exact"/>
        <w:ind w:firstLineChars="200" w:firstLine="643"/>
        <w:rPr>
          <w:rStyle w:val="a8"/>
          <w:rFonts w:ascii="仿宋" w:eastAsia="仿宋" w:hAnsi="仿宋"/>
          <w:b w:val="0"/>
          <w:bCs/>
          <w:color w:val="000000"/>
          <w:sz w:val="32"/>
          <w:szCs w:val="32"/>
        </w:rPr>
      </w:pPr>
      <w:r>
        <w:rPr>
          <w:rFonts w:ascii="仿宋" w:eastAsia="仿宋" w:hAnsi="仿宋" w:hint="eastAsia"/>
          <w:b/>
          <w:bCs/>
          <w:color w:val="000000"/>
          <w:sz w:val="32"/>
          <w:szCs w:val="32"/>
        </w:rPr>
        <w:t>6.</w:t>
      </w:r>
      <w:r>
        <w:rPr>
          <w:rStyle w:val="a8"/>
          <w:rFonts w:ascii="仿宋" w:eastAsia="仿宋" w:hAnsi="仿宋" w:hint="eastAsia"/>
          <w:bCs/>
          <w:sz w:val="32"/>
          <w:szCs w:val="32"/>
        </w:rPr>
        <w:t>农林水支出（类）农业农村（款）其他农业农村支出（项）:</w:t>
      </w:r>
      <w:r>
        <w:rPr>
          <w:rStyle w:val="a8"/>
          <w:rFonts w:ascii="仿宋" w:eastAsia="仿宋" w:hAnsi="仿宋" w:hint="eastAsia"/>
          <w:b w:val="0"/>
          <w:bCs/>
          <w:color w:val="000000"/>
          <w:sz w:val="32"/>
          <w:szCs w:val="32"/>
        </w:rPr>
        <w:t>支出决算为</w:t>
      </w:r>
      <w:r>
        <w:rPr>
          <w:rStyle w:val="a8"/>
          <w:rFonts w:ascii="仿宋" w:eastAsia="仿宋" w:hAnsi="仿宋" w:hint="eastAsia"/>
          <w:color w:val="000000"/>
          <w:sz w:val="32"/>
          <w:szCs w:val="32"/>
        </w:rPr>
        <w:t>159.28</w:t>
      </w:r>
      <w:r>
        <w:rPr>
          <w:rStyle w:val="a8"/>
          <w:rFonts w:ascii="仿宋" w:eastAsia="仿宋" w:hAnsi="仿宋" w:hint="eastAsia"/>
          <w:b w:val="0"/>
          <w:bCs/>
          <w:color w:val="000000"/>
          <w:sz w:val="32"/>
          <w:szCs w:val="32"/>
        </w:rPr>
        <w:t>万元，完成预算</w:t>
      </w:r>
      <w:r>
        <w:rPr>
          <w:rStyle w:val="a8"/>
          <w:rFonts w:ascii="仿宋" w:eastAsia="仿宋" w:hAnsi="仿宋" w:hint="eastAsia"/>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EB5C51" w:rsidRDefault="000E23EF">
      <w:pPr>
        <w:spacing w:line="600" w:lineRule="exact"/>
        <w:ind w:firstLineChars="200" w:firstLine="643"/>
        <w:rPr>
          <w:rStyle w:val="a8"/>
          <w:rFonts w:ascii="仿宋" w:eastAsia="仿宋" w:hAnsi="仿宋"/>
          <w:b w:val="0"/>
          <w:bCs/>
          <w:color w:val="000000"/>
          <w:sz w:val="32"/>
          <w:szCs w:val="32"/>
        </w:rPr>
      </w:pPr>
      <w:r>
        <w:rPr>
          <w:rFonts w:ascii="仿宋" w:eastAsia="仿宋" w:hAnsi="仿宋" w:hint="eastAsia"/>
          <w:b/>
          <w:bCs/>
          <w:color w:val="000000"/>
          <w:sz w:val="32"/>
          <w:szCs w:val="32"/>
        </w:rPr>
        <w:t>7.住房保障支出</w:t>
      </w:r>
      <w:r>
        <w:rPr>
          <w:rStyle w:val="a8"/>
          <w:rFonts w:ascii="仿宋" w:eastAsia="仿宋" w:hAnsi="仿宋" w:hint="eastAsia"/>
          <w:bCs/>
          <w:color w:val="000000"/>
          <w:sz w:val="32"/>
          <w:szCs w:val="32"/>
        </w:rPr>
        <w:t>（类）住房改革支出（款）住房公积金（项）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color w:val="000000"/>
          <w:sz w:val="32"/>
          <w:szCs w:val="32"/>
        </w:rPr>
        <w:t>22.37</w:t>
      </w:r>
      <w:r>
        <w:rPr>
          <w:rStyle w:val="a8"/>
          <w:rFonts w:ascii="仿宋" w:eastAsia="仿宋" w:hAnsi="仿宋" w:hint="eastAsia"/>
          <w:b w:val="0"/>
          <w:bCs/>
          <w:color w:val="000000"/>
          <w:sz w:val="32"/>
          <w:szCs w:val="32"/>
        </w:rPr>
        <w:t>万元，完成预算</w:t>
      </w:r>
      <w:r>
        <w:rPr>
          <w:rStyle w:val="a8"/>
          <w:rFonts w:ascii="仿宋" w:eastAsia="仿宋" w:hAnsi="仿宋" w:hint="eastAsia"/>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EB5C51" w:rsidRDefault="00EB5C51">
      <w:pPr>
        <w:pStyle w:val="a0"/>
        <w:spacing w:before="93"/>
      </w:pPr>
    </w:p>
    <w:p w:rsidR="00EB5C51" w:rsidRDefault="000E23EF">
      <w:pPr>
        <w:tabs>
          <w:tab w:val="right" w:pos="8306"/>
        </w:tabs>
        <w:spacing w:line="600" w:lineRule="exact"/>
        <w:ind w:firstLine="640"/>
        <w:outlineLvl w:val="1"/>
        <w:rPr>
          <w:rStyle w:val="2Char"/>
        </w:rPr>
      </w:pPr>
      <w:bookmarkStart w:id="34" w:name="_Toc15396608"/>
      <w:bookmarkStart w:id="35"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EB5C51" w:rsidRDefault="000E23EF">
      <w:pPr>
        <w:spacing w:line="600" w:lineRule="exact"/>
        <w:ind w:firstLine="645"/>
        <w:rPr>
          <w:rFonts w:ascii="仿宋" w:eastAsia="仿宋" w:hAnsi="仿宋"/>
          <w:sz w:val="32"/>
          <w:szCs w:val="32"/>
        </w:rPr>
      </w:pPr>
      <w:r>
        <w:rPr>
          <w:rFonts w:ascii="仿宋" w:eastAsia="仿宋" w:hAnsi="仿宋" w:hint="eastAsia"/>
          <w:sz w:val="32"/>
          <w:szCs w:val="32"/>
        </w:rPr>
        <w:t>2023年度一般公共预算财政拨款基本支出</w:t>
      </w:r>
      <w:r>
        <w:rPr>
          <w:rFonts w:ascii="仿宋" w:eastAsia="仿宋" w:hAnsi="仿宋"/>
          <w:b/>
          <w:sz w:val="32"/>
          <w:szCs w:val="32"/>
        </w:rPr>
        <w:t>318.46</w:t>
      </w:r>
      <w:r>
        <w:rPr>
          <w:rFonts w:ascii="仿宋" w:eastAsia="仿宋" w:hAnsi="仿宋" w:hint="eastAsia"/>
          <w:sz w:val="32"/>
          <w:szCs w:val="32"/>
        </w:rPr>
        <w:t>万元，其中：</w:t>
      </w:r>
    </w:p>
    <w:p w:rsidR="00EB5C51" w:rsidRDefault="000E23EF">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b/>
          <w:sz w:val="32"/>
          <w:szCs w:val="32"/>
        </w:rPr>
        <w:t>291.08</w:t>
      </w:r>
      <w:r>
        <w:rPr>
          <w:rFonts w:ascii="仿宋" w:eastAsia="仿宋" w:hAnsi="仿宋" w:hint="eastAsia"/>
          <w:sz w:val="32"/>
          <w:szCs w:val="32"/>
        </w:rPr>
        <w:t>万元，主要包括：基本工资、津贴补贴、奖金、绩效工资、机关事业单位基本养老保险缴费、职工基本医疗保险缴费、公务员医疗补助缴费、其他社会保障缴费、生活补助、医疗费补助、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Pr>
          <w:rFonts w:ascii="仿宋" w:eastAsia="仿宋" w:hAnsi="仿宋"/>
          <w:b/>
          <w:sz w:val="32"/>
          <w:szCs w:val="32"/>
        </w:rPr>
        <w:t>27.38</w:t>
      </w:r>
      <w:r>
        <w:rPr>
          <w:rFonts w:ascii="仿宋" w:eastAsia="仿宋" w:hAnsi="仿宋" w:hint="eastAsia"/>
          <w:sz w:val="32"/>
          <w:szCs w:val="32"/>
        </w:rPr>
        <w:t>万元，主要包括：办公费、水费、电费、邮电费、物业管理费、差旅费、公务接待费、劳务费、工会经费、福利费、公务用车运行维护费、其他交通费、其他商品和服务支出等。</w:t>
      </w:r>
    </w:p>
    <w:p w:rsidR="00EB5C51" w:rsidRDefault="00EB5C51">
      <w:pPr>
        <w:spacing w:line="600" w:lineRule="exact"/>
        <w:ind w:firstLine="640"/>
        <w:rPr>
          <w:rFonts w:ascii="仿宋" w:eastAsia="仿宋" w:hAnsi="仿宋"/>
          <w:b/>
          <w:sz w:val="32"/>
          <w:szCs w:val="32"/>
        </w:rPr>
      </w:pPr>
    </w:p>
    <w:p w:rsidR="00EB5C51" w:rsidRDefault="000E23EF">
      <w:pPr>
        <w:spacing w:line="600" w:lineRule="exact"/>
        <w:ind w:firstLine="640"/>
        <w:outlineLvl w:val="1"/>
        <w:rPr>
          <w:rStyle w:val="2Char"/>
          <w:rFonts w:ascii="黑体" w:eastAsia="黑体" w:hAnsi="黑体"/>
          <w:b w:val="0"/>
        </w:rPr>
      </w:pPr>
      <w:bookmarkStart w:id="36" w:name="_Toc15396609"/>
      <w:bookmarkStart w:id="37"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6"/>
      <w:bookmarkEnd w:id="37"/>
    </w:p>
    <w:p w:rsidR="00EB5C51" w:rsidRDefault="000E23EF">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EB5C51" w:rsidRDefault="000E23EF">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2023年度“三公”经费财政拨款支出决算为</w:t>
      </w:r>
      <w:r>
        <w:rPr>
          <w:rFonts w:ascii="仿宋" w:eastAsia="仿宋" w:hAnsi="仿宋"/>
          <w:b/>
          <w:sz w:val="32"/>
          <w:szCs w:val="32"/>
        </w:rPr>
        <w:t>3.23</w:t>
      </w:r>
      <w:r>
        <w:rPr>
          <w:rFonts w:ascii="仿宋" w:eastAsia="仿宋" w:hAnsi="仿宋" w:hint="eastAsia"/>
          <w:sz w:val="32"/>
          <w:szCs w:val="32"/>
        </w:rPr>
        <w:t>万元，完成预算</w:t>
      </w:r>
      <w:r>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，较上年度增加</w:t>
      </w:r>
      <w:r>
        <w:rPr>
          <w:rFonts w:ascii="仿宋" w:eastAsia="仿宋" w:hAnsi="仿宋" w:hint="eastAsia"/>
          <w:b/>
          <w:bCs/>
          <w:sz w:val="32"/>
          <w:szCs w:val="32"/>
        </w:rPr>
        <w:t>1.76</w:t>
      </w:r>
      <w:r>
        <w:rPr>
          <w:rFonts w:ascii="仿宋" w:eastAsia="仿宋" w:hAnsi="仿宋" w:hint="eastAsia"/>
          <w:sz w:val="32"/>
          <w:szCs w:val="32"/>
        </w:rPr>
        <w:t>万元，增长</w:t>
      </w:r>
      <w:r>
        <w:rPr>
          <w:rFonts w:ascii="仿宋" w:eastAsia="仿宋" w:hAnsi="仿宋" w:hint="eastAsia"/>
          <w:b/>
          <w:bCs/>
          <w:sz w:val="32"/>
          <w:szCs w:val="32"/>
        </w:rPr>
        <w:t>119.73</w:t>
      </w:r>
      <w:r>
        <w:rPr>
          <w:rFonts w:ascii="仿宋" w:eastAsia="仿宋" w:hAnsi="仿宋" w:hint="eastAsia"/>
          <w:sz w:val="32"/>
          <w:szCs w:val="32"/>
        </w:rPr>
        <w:t>%。</w:t>
      </w:r>
    </w:p>
    <w:p w:rsidR="00EB5C51" w:rsidRDefault="000E23EF">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lastRenderedPageBreak/>
        <w:t>（二）“三公”经费财政拨款支出决算具体情况说明</w:t>
      </w:r>
      <w:bookmarkEnd w:id="39"/>
    </w:p>
    <w:p w:rsidR="00EB5C51" w:rsidRDefault="000E23EF">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2023年度“三公”经费财政拨款支出决算中，因公出国（境）费支出决算</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rFonts w:ascii="仿宋" w:eastAsia="仿宋" w:hAnsi="仿宋"/>
          <w:b/>
          <w:sz w:val="32"/>
          <w:szCs w:val="32"/>
        </w:rPr>
        <w:t>2.91</w:t>
      </w:r>
      <w:r>
        <w:rPr>
          <w:rFonts w:ascii="仿宋" w:eastAsia="仿宋" w:hAnsi="仿宋" w:hint="eastAsia"/>
          <w:sz w:val="32"/>
          <w:szCs w:val="32"/>
        </w:rPr>
        <w:t>万元，占</w:t>
      </w:r>
      <w:r>
        <w:rPr>
          <w:rFonts w:ascii="仿宋" w:eastAsia="仿宋" w:hAnsi="仿宋"/>
          <w:b/>
          <w:sz w:val="32"/>
          <w:szCs w:val="32"/>
        </w:rPr>
        <w:t>90.08</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b/>
          <w:sz w:val="32"/>
          <w:szCs w:val="32"/>
        </w:rPr>
        <w:t>0.32</w:t>
      </w:r>
      <w:r>
        <w:rPr>
          <w:rFonts w:ascii="仿宋" w:eastAsia="仿宋" w:hAnsi="仿宋" w:hint="eastAsia"/>
          <w:sz w:val="32"/>
          <w:szCs w:val="32"/>
        </w:rPr>
        <w:t>万元，占</w:t>
      </w:r>
      <w:r>
        <w:rPr>
          <w:rFonts w:ascii="仿宋" w:eastAsia="仿宋" w:hAnsi="仿宋"/>
          <w:b/>
          <w:sz w:val="32"/>
          <w:szCs w:val="32"/>
        </w:rPr>
        <w:t>9.91</w:t>
      </w:r>
      <w:r>
        <w:rPr>
          <w:rFonts w:ascii="仿宋" w:eastAsia="仿宋" w:hAnsi="仿宋"/>
          <w:sz w:val="32"/>
          <w:szCs w:val="32"/>
        </w:rPr>
        <w:t>%</w:t>
      </w:r>
      <w:r>
        <w:rPr>
          <w:rFonts w:ascii="仿宋" w:eastAsia="仿宋" w:hAnsi="仿宋" w:hint="eastAsia"/>
          <w:sz w:val="32"/>
          <w:szCs w:val="32"/>
        </w:rPr>
        <w:t>。具体情况如下：</w:t>
      </w:r>
    </w:p>
    <w:p w:rsidR="00EB5C51" w:rsidRDefault="000E23EF">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EB5C51" w:rsidRDefault="000E23EF">
      <w:pPr>
        <w:pStyle w:val="a0"/>
        <w:spacing w:before="93"/>
        <w:jc w:val="center"/>
      </w:pPr>
      <w:r>
        <w:rPr>
          <w:noProof/>
        </w:rPr>
        <w:drawing>
          <wp:inline distT="0" distB="0" distL="114300" distR="114300">
            <wp:extent cx="4572000" cy="2743200"/>
            <wp:effectExtent l="4445" t="4445" r="14605" b="1460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B5C51" w:rsidRDefault="000E23EF">
      <w:pPr>
        <w:spacing w:line="600" w:lineRule="exact"/>
        <w:ind w:firstLine="640"/>
        <w:rPr>
          <w:rFonts w:ascii="仿宋_GB2312" w:eastAsia="仿宋_GB2312"/>
          <w:sz w:val="32"/>
          <w:szCs w:val="32"/>
        </w:rPr>
      </w:pPr>
      <w:bookmarkStart w:id="40" w:name="_Toc15396610"/>
      <w:bookmarkStart w:id="41" w:name="_Toc15377218"/>
      <w:r>
        <w:rPr>
          <w:rFonts w:ascii="仿宋_GB2312" w:eastAsia="仿宋_GB2312"/>
          <w:b/>
          <w:sz w:val="32"/>
          <w:szCs w:val="32"/>
        </w:rPr>
        <w:t>1.</w:t>
      </w:r>
      <w:r>
        <w:rPr>
          <w:rFonts w:ascii="仿宋_GB2312" w:eastAsia="仿宋_GB2312" w:hint="eastAsia"/>
          <w:b/>
          <w:sz w:val="32"/>
          <w:szCs w:val="32"/>
        </w:rPr>
        <w:t>因公出国（境）经费支出</w:t>
      </w:r>
      <w:r>
        <w:rPr>
          <w:rFonts w:ascii="仿宋" w:eastAsia="仿宋" w:hAnsi="仿宋"/>
          <w:b/>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w:t>
      </w:r>
      <w:r>
        <w:rPr>
          <w:rFonts w:ascii="仿宋_GB2312" w:eastAsia="仿宋_GB2312"/>
          <w:b/>
          <w:sz w:val="32"/>
          <w:szCs w:val="32"/>
        </w:rPr>
        <w:t>0</w:t>
      </w:r>
      <w:r>
        <w:rPr>
          <w:rFonts w:ascii="仿宋_GB2312" w:eastAsia="仿宋_GB2312" w:hint="eastAsia"/>
          <w:sz w:val="32"/>
          <w:szCs w:val="32"/>
        </w:rPr>
        <w:t>次，出国（境）</w:t>
      </w:r>
      <w:r>
        <w:rPr>
          <w:rFonts w:ascii="仿宋_GB2312" w:eastAsia="仿宋_GB2312"/>
          <w:b/>
          <w:sz w:val="32"/>
          <w:szCs w:val="32"/>
        </w:rPr>
        <w:t>0</w:t>
      </w:r>
      <w:r>
        <w:rPr>
          <w:rFonts w:ascii="仿宋_GB2312" w:eastAsia="仿宋_GB2312" w:hint="eastAsia"/>
          <w:sz w:val="32"/>
          <w:szCs w:val="32"/>
        </w:rPr>
        <w:t>人。</w:t>
      </w:r>
    </w:p>
    <w:p w:rsidR="00EB5C51" w:rsidRDefault="000E23EF">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 w:eastAsia="仿宋" w:hAnsi="仿宋"/>
          <w:b/>
          <w:sz w:val="32"/>
          <w:szCs w:val="32"/>
        </w:rPr>
        <w:t>2.91</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公务用车购置及运行维护费支出决算比2022年度增加</w:t>
      </w:r>
      <w:r>
        <w:rPr>
          <w:rFonts w:ascii="仿宋_GB2312" w:eastAsia="仿宋_GB2312" w:hint="eastAsia"/>
          <w:b/>
          <w:bCs/>
          <w:sz w:val="32"/>
          <w:szCs w:val="32"/>
        </w:rPr>
        <w:t>1.77</w:t>
      </w:r>
      <w:r>
        <w:rPr>
          <w:rFonts w:ascii="仿宋_GB2312" w:eastAsia="仿宋_GB2312" w:hint="eastAsia"/>
          <w:sz w:val="32"/>
          <w:szCs w:val="32"/>
        </w:rPr>
        <w:t>万元，增长155.26</w:t>
      </w:r>
      <w:r>
        <w:rPr>
          <w:rFonts w:ascii="仿宋_GB2312" w:eastAsia="仿宋_GB2312"/>
          <w:sz w:val="32"/>
          <w:szCs w:val="32"/>
        </w:rPr>
        <w:t>%</w:t>
      </w:r>
      <w:r>
        <w:rPr>
          <w:rFonts w:ascii="仿宋_GB2312" w:eastAsia="仿宋_GB2312" w:hint="eastAsia"/>
          <w:sz w:val="32"/>
          <w:szCs w:val="32"/>
        </w:rPr>
        <w:t>。主要原因是2022年年底车辆维修费用未及时支付，在2023年度完成支出；二是2023年因疫情结束，省级农产品风险监测交叉抽样重新开展，过路费等支出增加。</w:t>
      </w:r>
    </w:p>
    <w:p w:rsidR="00EB5C51" w:rsidRDefault="000E23EF">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 w:eastAsia="仿宋" w:hAnsi="仿宋"/>
          <w:b/>
          <w:sz w:val="32"/>
          <w:szCs w:val="32"/>
        </w:rPr>
        <w:t>0</w:t>
      </w:r>
      <w:r>
        <w:rPr>
          <w:rFonts w:ascii="仿宋_GB2312" w:eastAsia="仿宋_GB2312" w:hint="eastAsia"/>
          <w:sz w:val="32"/>
          <w:szCs w:val="32"/>
        </w:rPr>
        <w:t>万元。全年按规定更新购置</w:t>
      </w:r>
      <w:r>
        <w:rPr>
          <w:rFonts w:ascii="仿宋_GB2312" w:eastAsia="仿宋_GB2312" w:hint="eastAsia"/>
          <w:sz w:val="32"/>
          <w:szCs w:val="32"/>
        </w:rPr>
        <w:lastRenderedPageBreak/>
        <w:t>公务用车0辆，其中：轿车0辆、金额0万元，越野车0辆、金额0万元，载客汽车0辆、金额0万元。截至2023年</w:t>
      </w:r>
      <w:r>
        <w:rPr>
          <w:rFonts w:ascii="仿宋_GB2312" w:eastAsia="仿宋_GB2312"/>
          <w:sz w:val="32"/>
          <w:szCs w:val="32"/>
        </w:rPr>
        <w:t>12</w:t>
      </w:r>
      <w:r>
        <w:rPr>
          <w:rFonts w:ascii="仿宋_GB2312" w:eastAsia="仿宋_GB2312" w:hint="eastAsia"/>
          <w:sz w:val="32"/>
          <w:szCs w:val="32"/>
        </w:rPr>
        <w:t>月31日，单位共有公务用车1辆，其中：轿车0辆、越野车1辆、载客汽车0辆。</w:t>
      </w:r>
    </w:p>
    <w:p w:rsidR="00EB5C51" w:rsidRDefault="000E23EF">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 w:eastAsia="仿宋" w:hAnsi="仿宋"/>
          <w:b/>
          <w:sz w:val="32"/>
          <w:szCs w:val="32"/>
        </w:rPr>
        <w:t>2.91</w:t>
      </w:r>
      <w:r>
        <w:rPr>
          <w:rFonts w:ascii="仿宋_GB2312" w:eastAsia="仿宋_GB2312" w:hint="eastAsia"/>
          <w:sz w:val="32"/>
          <w:szCs w:val="32"/>
        </w:rPr>
        <w:t>万元。主要用于开展省、市两级农产品质量安全监测抽样、调研等所需的公务用车燃料费、维修费、过路过桥费、保险费等支出。</w:t>
      </w:r>
    </w:p>
    <w:p w:rsidR="00EB5C51" w:rsidRDefault="000E23EF">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 w:eastAsia="仿宋" w:hAnsi="仿宋"/>
          <w:b/>
          <w:sz w:val="32"/>
          <w:szCs w:val="32"/>
        </w:rPr>
        <w:t>0.32</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 w:val="0"/>
          <w:bCs/>
          <w:sz w:val="32"/>
          <w:szCs w:val="32"/>
        </w:rPr>
        <w:t>100%</w:t>
      </w:r>
      <w:r>
        <w:rPr>
          <w:rStyle w:val="a8"/>
          <w:rFonts w:ascii="仿宋" w:eastAsia="仿宋" w:hAnsi="仿宋" w:hint="eastAsia"/>
          <w:b w:val="0"/>
          <w:bCs/>
          <w:sz w:val="32"/>
          <w:szCs w:val="32"/>
        </w:rPr>
        <w:t>。</w:t>
      </w:r>
      <w:r>
        <w:rPr>
          <w:rFonts w:ascii="仿宋_GB2312" w:eastAsia="仿宋_GB2312" w:hint="eastAsia"/>
          <w:sz w:val="32"/>
          <w:szCs w:val="32"/>
        </w:rPr>
        <w:t>公务接待费支出决算比2022年度减少0.01万元，下降3.03</w:t>
      </w:r>
      <w:r>
        <w:rPr>
          <w:rFonts w:ascii="仿宋_GB2312" w:eastAsia="仿宋_GB2312"/>
          <w:sz w:val="32"/>
          <w:szCs w:val="32"/>
        </w:rPr>
        <w:t>%</w:t>
      </w:r>
      <w:r>
        <w:rPr>
          <w:rFonts w:ascii="仿宋_GB2312" w:eastAsia="仿宋_GB2312" w:hint="eastAsia"/>
          <w:sz w:val="32"/>
          <w:szCs w:val="32"/>
        </w:rPr>
        <w:t>。主要原因是厉行节约。其中：</w:t>
      </w:r>
    </w:p>
    <w:p w:rsidR="00EB5C51" w:rsidRDefault="000E23EF">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b/>
          <w:sz w:val="32"/>
          <w:szCs w:val="32"/>
        </w:rPr>
        <w:t>0.32</w:t>
      </w:r>
      <w:r>
        <w:rPr>
          <w:rFonts w:ascii="仿宋_GB2312" w:eastAsia="仿宋_GB2312" w:hint="eastAsia"/>
          <w:sz w:val="32"/>
          <w:szCs w:val="32"/>
        </w:rPr>
        <w:t>万元，主要用于</w:t>
      </w:r>
      <w:r>
        <w:rPr>
          <w:rFonts w:ascii="仿宋_GB2312" w:eastAsia="仿宋_GB2312" w:hint="eastAsia"/>
          <w:color w:val="000000"/>
          <w:sz w:val="32"/>
          <w:szCs w:val="32"/>
        </w:rPr>
        <w:t>省级风险监测交叉抽样其他地市州来攀抽样</w:t>
      </w:r>
      <w:r>
        <w:rPr>
          <w:rFonts w:ascii="仿宋_GB2312" w:eastAsia="仿宋_GB2312" w:hint="eastAsia"/>
          <w:sz w:val="32"/>
          <w:szCs w:val="32"/>
        </w:rPr>
        <w:t>用餐费。国内公务接待4批次，36人次（不包括陪同人员），共计支出0.32万元，具体内容包括：凉山州检测中心来攀开展省级农产品质量安全交叉抽样4次，共计0.32万元。</w:t>
      </w:r>
    </w:p>
    <w:p w:rsidR="00EB5C51" w:rsidRDefault="000E23EF">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b/>
          <w:sz w:val="32"/>
          <w:szCs w:val="32"/>
        </w:rPr>
        <w:t>0</w:t>
      </w:r>
      <w:r>
        <w:rPr>
          <w:rFonts w:ascii="仿宋_GB2312" w:eastAsia="仿宋_GB2312" w:hint="eastAsia"/>
          <w:sz w:val="32"/>
          <w:szCs w:val="32"/>
        </w:rPr>
        <w:t>万元。外事接待0批次，0人次（不包括陪同人员），共计支出0万元。</w:t>
      </w:r>
    </w:p>
    <w:p w:rsidR="00EB5C51" w:rsidRDefault="00EB5C51">
      <w:pPr>
        <w:spacing w:line="600" w:lineRule="exact"/>
        <w:ind w:firstLine="640"/>
        <w:outlineLvl w:val="1"/>
        <w:rPr>
          <w:rFonts w:ascii="黑体" w:eastAsia="黑体"/>
          <w:sz w:val="32"/>
          <w:szCs w:val="32"/>
        </w:rPr>
      </w:pPr>
    </w:p>
    <w:p w:rsidR="00EB5C51" w:rsidRDefault="000E23EF">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0"/>
      <w:bookmarkEnd w:id="41"/>
    </w:p>
    <w:p w:rsidR="00EB5C51" w:rsidRDefault="000E23EF">
      <w:pPr>
        <w:spacing w:line="600" w:lineRule="exact"/>
        <w:ind w:firstLine="640"/>
        <w:rPr>
          <w:rFonts w:ascii="仿宋_GB2312" w:eastAsia="仿宋_GB2312"/>
          <w:sz w:val="32"/>
          <w:szCs w:val="32"/>
        </w:rPr>
      </w:pPr>
      <w:r>
        <w:rPr>
          <w:rFonts w:ascii="仿宋_GB2312" w:eastAsia="仿宋_GB2312" w:hint="eastAsia"/>
          <w:sz w:val="32"/>
          <w:szCs w:val="32"/>
        </w:rPr>
        <w:t>2023年度政府性基金预算财政拨款支出</w:t>
      </w:r>
      <w:r>
        <w:rPr>
          <w:rFonts w:ascii="仿宋" w:eastAsia="仿宋" w:hAnsi="仿宋"/>
          <w:b/>
          <w:sz w:val="32"/>
          <w:szCs w:val="32"/>
        </w:rPr>
        <w:t>0</w:t>
      </w:r>
      <w:r>
        <w:rPr>
          <w:rFonts w:ascii="仿宋_GB2312" w:eastAsia="仿宋_GB2312" w:hint="eastAsia"/>
          <w:sz w:val="32"/>
          <w:szCs w:val="32"/>
        </w:rPr>
        <w:t>万元。</w:t>
      </w:r>
    </w:p>
    <w:p w:rsidR="00EB5C51" w:rsidRDefault="00EB5C51">
      <w:pPr>
        <w:spacing w:line="600" w:lineRule="exact"/>
        <w:ind w:firstLine="640"/>
        <w:rPr>
          <w:rFonts w:ascii="仿宋_GB2312" w:eastAsia="仿宋_GB2312"/>
          <w:sz w:val="32"/>
          <w:szCs w:val="32"/>
        </w:rPr>
      </w:pPr>
    </w:p>
    <w:p w:rsidR="00EB5C51" w:rsidRDefault="000E23EF">
      <w:pPr>
        <w:numPr>
          <w:ilvl w:val="0"/>
          <w:numId w:val="3"/>
        </w:numPr>
        <w:spacing w:line="600" w:lineRule="exact"/>
        <w:ind w:firstLine="640"/>
        <w:outlineLvl w:val="1"/>
        <w:rPr>
          <w:rStyle w:val="2Char"/>
          <w:rFonts w:ascii="黑体" w:eastAsia="黑体" w:hAnsi="黑体"/>
          <w:b w:val="0"/>
        </w:rPr>
      </w:pPr>
      <w:bookmarkStart w:id="42" w:name="_Toc15377219"/>
      <w:bookmarkStart w:id="43" w:name="_Toc15396611"/>
      <w:r>
        <w:rPr>
          <w:rStyle w:val="2Char"/>
          <w:rFonts w:ascii="黑体" w:eastAsia="黑体" w:hAnsi="黑体" w:hint="eastAsia"/>
          <w:b w:val="0"/>
        </w:rPr>
        <w:t>国有资本经营预算支出决算情况说明</w:t>
      </w:r>
      <w:bookmarkEnd w:id="42"/>
      <w:bookmarkEnd w:id="43"/>
    </w:p>
    <w:p w:rsidR="00EB5C51" w:rsidRDefault="000E23EF">
      <w:pPr>
        <w:spacing w:line="600" w:lineRule="exact"/>
        <w:ind w:firstLine="640"/>
        <w:rPr>
          <w:rFonts w:ascii="仿宋_GB2312" w:eastAsia="仿宋_GB2312"/>
          <w:sz w:val="32"/>
          <w:szCs w:val="32"/>
        </w:rPr>
      </w:pPr>
      <w:r>
        <w:rPr>
          <w:rFonts w:ascii="仿宋_GB2312" w:eastAsia="仿宋_GB2312" w:hint="eastAsia"/>
          <w:sz w:val="32"/>
          <w:szCs w:val="32"/>
        </w:rPr>
        <w:t>2023年度国有资本经营预算财政拨款支出</w:t>
      </w:r>
      <w:r>
        <w:rPr>
          <w:rFonts w:ascii="仿宋" w:eastAsia="仿宋" w:hAnsi="仿宋"/>
          <w:b/>
          <w:sz w:val="32"/>
          <w:szCs w:val="32"/>
        </w:rPr>
        <w:t>0</w:t>
      </w:r>
      <w:r>
        <w:rPr>
          <w:rFonts w:ascii="仿宋_GB2312" w:eastAsia="仿宋_GB2312" w:hint="eastAsia"/>
          <w:sz w:val="32"/>
          <w:szCs w:val="32"/>
        </w:rPr>
        <w:t>万元。</w:t>
      </w:r>
    </w:p>
    <w:p w:rsidR="00EB5C51" w:rsidRDefault="000E23EF">
      <w:pPr>
        <w:numPr>
          <w:ilvl w:val="0"/>
          <w:numId w:val="3"/>
        </w:numPr>
        <w:spacing w:line="600" w:lineRule="exact"/>
        <w:ind w:firstLine="640"/>
        <w:outlineLvl w:val="1"/>
        <w:rPr>
          <w:rStyle w:val="2Char"/>
          <w:rFonts w:ascii="黑体" w:eastAsia="黑体" w:hAnsi="黑体"/>
          <w:b w:val="0"/>
        </w:rPr>
      </w:pPr>
      <w:bookmarkStart w:id="44" w:name="_Toc15377221"/>
      <w:bookmarkStart w:id="45" w:name="_Toc15396612"/>
      <w:r>
        <w:rPr>
          <w:rStyle w:val="2Char"/>
          <w:rFonts w:ascii="黑体" w:eastAsia="黑体" w:hAnsi="黑体" w:hint="eastAsia"/>
          <w:b w:val="0"/>
        </w:rPr>
        <w:lastRenderedPageBreak/>
        <w:t>其他重要事项的情况说明</w:t>
      </w:r>
      <w:bookmarkEnd w:id="44"/>
      <w:bookmarkEnd w:id="45"/>
    </w:p>
    <w:p w:rsidR="00EB5C51" w:rsidRDefault="000E23EF">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EB5C51" w:rsidRDefault="000E23EF">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Pr>
          <w:rFonts w:ascii="仿宋_GB2312" w:eastAsia="仿宋_GB2312"/>
          <w:b/>
          <w:sz w:val="32"/>
          <w:szCs w:val="32"/>
        </w:rPr>
        <w:t>攀西无公害农产品监测中心</w:t>
      </w:r>
      <w:r>
        <w:rPr>
          <w:rFonts w:ascii="仿宋_GB2312" w:eastAsia="仿宋_GB2312" w:hint="eastAsia"/>
          <w:sz w:val="32"/>
          <w:szCs w:val="32"/>
        </w:rPr>
        <w:t>机关运行经费支出</w:t>
      </w:r>
      <w:r>
        <w:rPr>
          <w:rFonts w:ascii="仿宋" w:eastAsia="仿宋" w:hAnsi="仿宋"/>
          <w:b/>
          <w:sz w:val="32"/>
          <w:szCs w:val="32"/>
        </w:rPr>
        <w:t>0</w:t>
      </w:r>
      <w:r>
        <w:rPr>
          <w:rFonts w:ascii="仿宋_GB2312" w:eastAsia="仿宋_GB2312" w:hint="eastAsia"/>
          <w:sz w:val="32"/>
          <w:szCs w:val="32"/>
        </w:rPr>
        <w:t>万元。</w:t>
      </w:r>
    </w:p>
    <w:p w:rsidR="00EB5C51" w:rsidRDefault="000E23EF">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3"/>
      <w:r>
        <w:rPr>
          <w:rFonts w:ascii="仿宋" w:eastAsia="仿宋" w:hAnsi="仿宋" w:hint="eastAsia"/>
          <w:b/>
          <w:sz w:val="32"/>
          <w:szCs w:val="32"/>
        </w:rPr>
        <w:t>（二）政府采购支出情况</w:t>
      </w:r>
      <w:bookmarkEnd w:id="47"/>
    </w:p>
    <w:p w:rsidR="00EB5C51" w:rsidRDefault="000E23EF">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Pr>
          <w:rFonts w:ascii="仿宋_GB2312" w:eastAsia="仿宋_GB2312"/>
          <w:b/>
          <w:sz w:val="32"/>
          <w:szCs w:val="32"/>
        </w:rPr>
        <w:t>攀西无公害农产品监测中心</w:t>
      </w:r>
      <w:r>
        <w:rPr>
          <w:rFonts w:ascii="仿宋_GB2312" w:eastAsia="仿宋_GB2312" w:hint="eastAsia"/>
          <w:sz w:val="32"/>
          <w:szCs w:val="32"/>
        </w:rPr>
        <w:t>政府采购支出总额</w:t>
      </w:r>
      <w:r>
        <w:rPr>
          <w:rFonts w:ascii="仿宋" w:eastAsia="仿宋" w:hAnsi="仿宋"/>
          <w:b/>
          <w:sz w:val="32"/>
          <w:szCs w:val="32"/>
        </w:rPr>
        <w:t>0</w:t>
      </w:r>
      <w:r>
        <w:rPr>
          <w:rFonts w:ascii="仿宋_GB2312" w:eastAsia="仿宋_GB2312" w:hint="eastAsia"/>
          <w:sz w:val="32"/>
          <w:szCs w:val="32"/>
        </w:rPr>
        <w:t>万元，其中：政府采购货物支出</w:t>
      </w:r>
      <w:r>
        <w:rPr>
          <w:rFonts w:ascii="仿宋" w:eastAsia="仿宋" w:hAnsi="仿宋"/>
          <w:b/>
          <w:sz w:val="32"/>
          <w:szCs w:val="32"/>
        </w:rPr>
        <w:t>0</w:t>
      </w:r>
      <w:r>
        <w:rPr>
          <w:rFonts w:ascii="仿宋_GB2312" w:eastAsia="仿宋_GB2312" w:hint="eastAsia"/>
          <w:sz w:val="32"/>
          <w:szCs w:val="32"/>
        </w:rPr>
        <w:t>万元、政府采购工程支出</w:t>
      </w:r>
      <w:r>
        <w:rPr>
          <w:rFonts w:ascii="仿宋" w:eastAsia="仿宋" w:hAnsi="仿宋"/>
          <w:b/>
          <w:sz w:val="32"/>
          <w:szCs w:val="32"/>
        </w:rPr>
        <w:t>0</w:t>
      </w:r>
      <w:r>
        <w:rPr>
          <w:rFonts w:ascii="仿宋_GB2312" w:eastAsia="仿宋_GB2312" w:hint="eastAsia"/>
          <w:sz w:val="32"/>
          <w:szCs w:val="32"/>
        </w:rPr>
        <w:t>万元、政府采购服务支出</w:t>
      </w:r>
      <w:r>
        <w:rPr>
          <w:rFonts w:ascii="仿宋" w:eastAsia="仿宋" w:hAnsi="仿宋"/>
          <w:b/>
          <w:sz w:val="32"/>
          <w:szCs w:val="32"/>
        </w:rPr>
        <w:t>0</w:t>
      </w:r>
      <w:r>
        <w:rPr>
          <w:rFonts w:ascii="仿宋_GB2312" w:eastAsia="仿宋_GB2312" w:hint="eastAsia"/>
          <w:sz w:val="32"/>
          <w:szCs w:val="32"/>
        </w:rPr>
        <w:t>万元。授予中小企业合同金额</w:t>
      </w:r>
      <w:r>
        <w:rPr>
          <w:rFonts w:ascii="仿宋" w:eastAsia="仿宋" w:hAnsi="仿宋"/>
          <w:b/>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，其中：授予小微企业合同金额</w:t>
      </w:r>
      <w:r>
        <w:rPr>
          <w:rFonts w:ascii="仿宋" w:eastAsia="仿宋" w:hAnsi="仿宋"/>
          <w:b/>
          <w:sz w:val="32"/>
          <w:szCs w:val="32"/>
        </w:rPr>
        <w:t>0</w:t>
      </w:r>
      <w:r>
        <w:rPr>
          <w:rFonts w:ascii="仿宋_GB2312" w:eastAsia="仿宋_GB2312" w:hint="eastAsia"/>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ascii="仿宋_GB2312" w:eastAsia="仿宋_GB2312" w:hint="eastAsia"/>
          <w:sz w:val="32"/>
          <w:szCs w:val="32"/>
        </w:rPr>
        <w:t>。</w:t>
      </w:r>
    </w:p>
    <w:p w:rsidR="00EB5C51" w:rsidRDefault="000E23EF">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rsidR="00EB5C51" w:rsidRDefault="000E23EF">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截至2023年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b/>
          <w:sz w:val="32"/>
          <w:szCs w:val="32"/>
        </w:rPr>
        <w:t>攀西无公害农产品监测中心</w:t>
      </w:r>
      <w:r>
        <w:rPr>
          <w:rFonts w:ascii="仿宋_GB2312" w:eastAsia="仿宋_GB2312" w:hint="eastAsia"/>
          <w:sz w:val="32"/>
          <w:szCs w:val="32"/>
        </w:rPr>
        <w:t>共有车辆</w:t>
      </w:r>
      <w:r>
        <w:rPr>
          <w:rFonts w:ascii="仿宋_GB2312" w:eastAsia="仿宋_GB2312" w:hint="eastAsia"/>
          <w:b/>
          <w:sz w:val="32"/>
          <w:szCs w:val="32"/>
        </w:rPr>
        <w:t>1</w:t>
      </w:r>
      <w:r>
        <w:rPr>
          <w:rFonts w:ascii="仿宋_GB2312" w:eastAsia="仿宋_GB2312" w:hint="eastAsia"/>
          <w:sz w:val="32"/>
          <w:szCs w:val="32"/>
        </w:rPr>
        <w:t>辆，其中：主要领导干部用车0辆、机要通信用车0辆、应急保障用车0辆、其他用车1辆，其他用车主要是用于省、市两级农产品质量安全监测</w:t>
      </w:r>
      <w:r>
        <w:rPr>
          <w:rFonts w:ascii="仿宋_GB2312" w:eastAsia="仿宋_GB2312" w:hint="eastAsia"/>
          <w:color w:val="000000"/>
          <w:sz w:val="32"/>
          <w:szCs w:val="32"/>
        </w:rPr>
        <w:t>抽采样</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万元以上设备（不含车辆）</w:t>
      </w:r>
      <w:r>
        <w:rPr>
          <w:rFonts w:ascii="仿宋_GB2312" w:eastAsia="仿宋_GB2312"/>
          <w:b/>
          <w:sz w:val="32"/>
          <w:szCs w:val="32"/>
        </w:rPr>
        <w:t>3</w:t>
      </w:r>
      <w:r>
        <w:rPr>
          <w:rFonts w:ascii="仿宋_GB2312" w:eastAsia="仿宋_GB2312" w:hint="eastAsia"/>
          <w:sz w:val="32"/>
          <w:szCs w:val="32"/>
        </w:rPr>
        <w:t>台（套）。</w:t>
      </w:r>
    </w:p>
    <w:p w:rsidR="00EB5C51" w:rsidRDefault="000E23EF">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EB5C51" w:rsidRDefault="000E23EF">
      <w:pPr>
        <w:spacing w:line="600" w:lineRule="exact"/>
        <w:ind w:firstLineChars="200" w:firstLine="640"/>
        <w:rPr>
          <w:rFonts w:ascii="仿宋_GB2312" w:eastAsia="仿宋_GB2312"/>
          <w:sz w:val="32"/>
          <w:szCs w:val="32"/>
        </w:rPr>
      </w:pPr>
      <w:r>
        <w:rPr>
          <w:rFonts w:ascii="仿宋_GB2312" w:eastAsia="仿宋_GB2312" w:hint="eastAsia"/>
          <w:sz w:val="32"/>
          <w:szCs w:val="32"/>
        </w:rPr>
        <w:t>根据预算绩效管理要求，本单位在2023年度预算编制阶段，组织对0个项目开展了预算事前绩效评估，对1个项目编制了绩效目标，预算执行过程中，选取1个项目开展绩效监控，组织对3个项目开展绩效自评，绩效自评表详见第四部分附件。</w:t>
      </w:r>
    </w:p>
    <w:p w:rsidR="00EB5C51" w:rsidRDefault="000E23EF">
      <w:pPr>
        <w:spacing w:line="600" w:lineRule="exact"/>
        <w:ind w:firstLineChars="200" w:firstLine="640"/>
        <w:rPr>
          <w:rFonts w:ascii="仿宋_GB2312" w:eastAsia="仿宋_GB2312"/>
          <w:sz w:val="32"/>
          <w:szCs w:val="32"/>
        </w:rPr>
      </w:pPr>
      <w:r>
        <w:rPr>
          <w:rFonts w:ascii="仿宋_GB2312" w:eastAsia="仿宋_GB2312" w:hint="eastAsia"/>
          <w:sz w:val="32"/>
          <w:szCs w:val="32"/>
        </w:rPr>
        <w:br w:type="page"/>
      </w:r>
    </w:p>
    <w:p w:rsidR="00EB5C51" w:rsidRDefault="000E23EF">
      <w:pPr>
        <w:numPr>
          <w:ilvl w:val="0"/>
          <w:numId w:val="4"/>
        </w:numPr>
        <w:spacing w:line="600" w:lineRule="exact"/>
        <w:ind w:firstLineChars="150" w:firstLine="660"/>
        <w:jc w:val="center"/>
        <w:outlineLvl w:val="0"/>
        <w:rPr>
          <w:rStyle w:val="1Char"/>
          <w:rFonts w:ascii="黑体" w:eastAsia="黑体" w:hAnsi="黑体"/>
          <w:b w:val="0"/>
        </w:rPr>
      </w:pPr>
      <w:bookmarkStart w:id="49" w:name="_Toc15396613"/>
      <w:bookmarkStart w:id="50"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49"/>
      <w:bookmarkEnd w:id="50"/>
    </w:p>
    <w:p w:rsidR="00EB5C51" w:rsidRDefault="00EB5C51">
      <w:pPr>
        <w:spacing w:line="600" w:lineRule="exact"/>
        <w:jc w:val="left"/>
        <w:rPr>
          <w:rFonts w:ascii="宋体"/>
          <w:b/>
          <w:sz w:val="44"/>
          <w:szCs w:val="44"/>
        </w:rPr>
      </w:pP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r>
        <w:rPr>
          <w:rFonts w:ascii="仿宋_GB2312" w:eastAsia="仿宋_GB2312"/>
          <w:color w:val="auto"/>
          <w:sz w:val="32"/>
          <w:szCs w:val="32"/>
        </w:rPr>
        <w:t xml:space="preserve"> </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Ansi="华文中宋" w:hint="eastAsia"/>
          <w:sz w:val="32"/>
          <w:szCs w:val="32"/>
        </w:rPr>
        <w:t>使用非财政拨款结余（含专用结余）</w:t>
      </w:r>
      <w:r>
        <w:rPr>
          <w:rFonts w:ascii="仿宋_GB2312" w:eastAsia="仿宋_GB2312" w:hint="eastAsia"/>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sz w:val="32"/>
          <w:szCs w:val="32"/>
        </w:rPr>
        <w:t>9.</w:t>
      </w:r>
      <w:r>
        <w:rPr>
          <w:rFonts w:ascii="仿宋_GB2312" w:eastAsia="仿宋_GB2312" w:hint="eastAsia"/>
          <w:color w:val="auto"/>
          <w:sz w:val="32"/>
          <w:szCs w:val="32"/>
        </w:rPr>
        <w:t>社会保障和就业（类）行政事业单位养老支出（款） 事业单位离退休（项）：指</w:t>
      </w:r>
      <w:r>
        <w:rPr>
          <w:rStyle w:val="a8"/>
          <w:rFonts w:hAnsi="仿宋" w:hint="eastAsia"/>
          <w:b w:val="0"/>
          <w:sz w:val="32"/>
          <w:szCs w:val="32"/>
        </w:rPr>
        <w:t>反映事业单位开支的离退休经费</w:t>
      </w:r>
      <w:r>
        <w:rPr>
          <w:rFonts w:ascii="仿宋_GB2312" w:eastAsia="仿宋_GB2312" w:hint="eastAsia"/>
          <w:color w:val="auto"/>
          <w:sz w:val="32"/>
          <w:szCs w:val="32"/>
        </w:rPr>
        <w:t>。</w:t>
      </w:r>
    </w:p>
    <w:p w:rsidR="00EB5C51" w:rsidRDefault="000E23EF">
      <w:pPr>
        <w:ind w:firstLineChars="200" w:firstLine="640"/>
        <w:rPr>
          <w:rFonts w:ascii="仿宋_GB2312" w:eastAsia="仿宋_GB2312"/>
          <w:sz w:val="32"/>
          <w:szCs w:val="32"/>
        </w:rPr>
      </w:pPr>
      <w:r>
        <w:rPr>
          <w:rFonts w:ascii="仿宋_GB2312" w:eastAsia="仿宋_GB2312"/>
          <w:sz w:val="32"/>
          <w:szCs w:val="32"/>
        </w:rPr>
        <w:t>10.</w:t>
      </w:r>
      <w:r>
        <w:rPr>
          <w:rStyle w:val="a8"/>
          <w:rFonts w:ascii="仿宋" w:eastAsia="仿宋" w:hAnsi="仿宋" w:cs="仿宋" w:hint="eastAsia"/>
          <w:b w:val="0"/>
          <w:color w:val="000000"/>
          <w:sz w:val="32"/>
          <w:szCs w:val="32"/>
        </w:rPr>
        <w:t>社会保障和就业（类）行政事业单位养老支出（款）机关事业单位基本养老保险缴费支出（项）</w:t>
      </w:r>
      <w:r>
        <w:rPr>
          <w:rStyle w:val="a8"/>
          <w:rFonts w:ascii="仿宋" w:eastAsia="仿宋" w:hAnsi="仿宋" w:cs="仿宋"/>
          <w:b w:val="0"/>
          <w:color w:val="000000"/>
          <w:sz w:val="32"/>
          <w:szCs w:val="32"/>
        </w:rPr>
        <w:t>:</w:t>
      </w:r>
      <w:r>
        <w:rPr>
          <w:rStyle w:val="a8"/>
          <w:rFonts w:ascii="仿宋" w:eastAsia="仿宋" w:hAnsi="仿宋" w:cs="仿宋" w:hint="eastAsia"/>
          <w:b w:val="0"/>
          <w:color w:val="000000"/>
          <w:sz w:val="32"/>
          <w:szCs w:val="32"/>
        </w:rPr>
        <w:t>反映机关事业单位实施养老保险制度由单位缴纳的基本养老保险费支出。</w:t>
      </w:r>
    </w:p>
    <w:p w:rsidR="00EB5C51" w:rsidRDefault="000E23EF">
      <w:pPr>
        <w:ind w:firstLineChars="200" w:firstLine="640"/>
        <w:rPr>
          <w:rFonts w:ascii="仿宋_GB2312" w:eastAsia="仿宋"/>
          <w:sz w:val="32"/>
          <w:szCs w:val="32"/>
        </w:rPr>
      </w:pPr>
      <w:r>
        <w:rPr>
          <w:rFonts w:ascii="仿宋_GB2312" w:eastAsia="仿宋_GB2312"/>
          <w:sz w:val="32"/>
          <w:szCs w:val="32"/>
        </w:rPr>
        <w:t>11.</w:t>
      </w:r>
      <w:r>
        <w:rPr>
          <w:rStyle w:val="a8"/>
          <w:rFonts w:ascii="仿宋" w:eastAsia="仿宋" w:hAnsi="仿宋" w:hint="eastAsia"/>
          <w:b w:val="0"/>
          <w:color w:val="000000"/>
          <w:sz w:val="32"/>
          <w:szCs w:val="32"/>
        </w:rPr>
        <w:t>社会保障和就业（类）人力资源和社会保障管理事</w:t>
      </w:r>
      <w:r>
        <w:rPr>
          <w:rStyle w:val="a8"/>
          <w:rFonts w:ascii="仿宋" w:eastAsia="仿宋" w:hAnsi="仿宋" w:hint="eastAsia"/>
          <w:b w:val="0"/>
          <w:color w:val="000000"/>
          <w:sz w:val="32"/>
          <w:szCs w:val="32"/>
        </w:rPr>
        <w:lastRenderedPageBreak/>
        <w:t>务（款）其他人力资源和社</w:t>
      </w:r>
      <w:r w:rsidR="00F72252">
        <w:rPr>
          <w:rStyle w:val="a8"/>
          <w:rFonts w:ascii="仿宋" w:eastAsia="仿宋" w:hAnsi="仿宋" w:hint="eastAsia"/>
          <w:b w:val="0"/>
          <w:color w:val="000000"/>
          <w:sz w:val="32"/>
          <w:szCs w:val="32"/>
        </w:rPr>
        <w:t>会保障管理事务支出（项）：反应除上述项目外其他用于人力资源和社会</w:t>
      </w:r>
      <w:bookmarkStart w:id="51" w:name="_GoBack"/>
      <w:bookmarkEnd w:id="51"/>
      <w:r>
        <w:rPr>
          <w:rStyle w:val="a8"/>
          <w:rFonts w:ascii="仿宋" w:eastAsia="仿宋" w:hAnsi="仿宋" w:hint="eastAsia"/>
          <w:b w:val="0"/>
          <w:color w:val="000000"/>
          <w:sz w:val="32"/>
          <w:szCs w:val="32"/>
        </w:rPr>
        <w:t>障管理事务方面的支出。</w:t>
      </w:r>
    </w:p>
    <w:p w:rsidR="00EB5C51" w:rsidRDefault="000E23EF">
      <w:pPr>
        <w:ind w:firstLineChars="200" w:firstLine="640"/>
        <w:rPr>
          <w:rFonts w:ascii="仿宋_GB2312" w:eastAsia="仿宋_GB2312"/>
          <w:sz w:val="32"/>
          <w:szCs w:val="32"/>
        </w:rPr>
      </w:pPr>
      <w:r>
        <w:rPr>
          <w:rFonts w:ascii="仿宋_GB2312" w:eastAsia="仿宋_GB2312"/>
          <w:sz w:val="32"/>
          <w:szCs w:val="32"/>
        </w:rPr>
        <w:t>12.</w:t>
      </w:r>
      <w:r>
        <w:rPr>
          <w:rFonts w:ascii="仿宋" w:eastAsia="仿宋" w:hAnsi="仿宋" w:cs="仿宋" w:hint="eastAsia"/>
          <w:color w:val="000000"/>
          <w:sz w:val="32"/>
          <w:szCs w:val="32"/>
        </w:rPr>
        <w:t>农林水支出</w:t>
      </w:r>
      <w:r>
        <w:rPr>
          <w:rStyle w:val="a8"/>
          <w:rFonts w:ascii="仿宋" w:eastAsia="仿宋" w:hAnsi="仿宋" w:cs="仿宋" w:hint="eastAsia"/>
          <w:b w:val="0"/>
          <w:color w:val="000000"/>
          <w:sz w:val="32"/>
          <w:szCs w:val="32"/>
        </w:rPr>
        <w:t>（类）农业农村（款）事业运行（项）</w:t>
      </w:r>
      <w:r>
        <w:rPr>
          <w:rStyle w:val="a8"/>
          <w:rFonts w:ascii="仿宋" w:eastAsia="仿宋" w:hAnsi="仿宋" w:cs="仿宋"/>
          <w:b w:val="0"/>
          <w:color w:val="000000"/>
          <w:sz w:val="32"/>
          <w:szCs w:val="32"/>
        </w:rPr>
        <w:t>:</w:t>
      </w:r>
      <w:r>
        <w:rPr>
          <w:rStyle w:val="a8"/>
          <w:rFonts w:ascii="仿宋" w:eastAsia="仿宋" w:hAnsi="仿宋" w:cs="仿宋" w:hint="eastAsia"/>
          <w:b w:val="0"/>
          <w:color w:val="000000"/>
          <w:sz w:val="32"/>
          <w:szCs w:val="32"/>
        </w:rPr>
        <w:t>反映用于农业事业单位基本支出，事业单位设施、系统运行与资产维护等方面的支出。</w:t>
      </w:r>
    </w:p>
    <w:p w:rsidR="00EB5C51" w:rsidRDefault="000E23EF">
      <w:pPr>
        <w:ind w:firstLineChars="200" w:firstLine="640"/>
        <w:rPr>
          <w:rStyle w:val="a8"/>
          <w:rFonts w:ascii="仿宋" w:eastAsia="仿宋" w:hAnsi="仿宋" w:cs="仿宋"/>
          <w:b w:val="0"/>
          <w:color w:val="000000"/>
          <w:sz w:val="32"/>
          <w:szCs w:val="32"/>
        </w:rPr>
      </w:pPr>
      <w:r>
        <w:rPr>
          <w:rFonts w:ascii="仿宋_GB2312" w:eastAsia="仿宋_GB2312"/>
          <w:sz w:val="32"/>
          <w:szCs w:val="32"/>
        </w:rPr>
        <w:t>13.</w:t>
      </w:r>
      <w:r>
        <w:rPr>
          <w:rFonts w:ascii="仿宋" w:eastAsia="仿宋" w:hAnsi="仿宋" w:cs="仿宋" w:hint="eastAsia"/>
          <w:color w:val="000000"/>
          <w:sz w:val="32"/>
          <w:szCs w:val="32"/>
        </w:rPr>
        <w:t>农林水支出</w:t>
      </w:r>
      <w:r>
        <w:rPr>
          <w:rStyle w:val="a8"/>
          <w:rFonts w:ascii="仿宋" w:eastAsia="仿宋" w:hAnsi="仿宋" w:cs="仿宋" w:hint="eastAsia"/>
          <w:b w:val="0"/>
          <w:color w:val="000000"/>
          <w:sz w:val="32"/>
          <w:szCs w:val="32"/>
        </w:rPr>
        <w:t>（类）农业农村（款）农产品质量安全（项）</w:t>
      </w:r>
      <w:r>
        <w:rPr>
          <w:rStyle w:val="a8"/>
          <w:rFonts w:ascii="仿宋" w:eastAsia="仿宋" w:hAnsi="仿宋" w:cs="仿宋"/>
          <w:b w:val="0"/>
          <w:color w:val="000000"/>
          <w:sz w:val="32"/>
          <w:szCs w:val="32"/>
        </w:rPr>
        <w:t>:</w:t>
      </w:r>
      <w:r>
        <w:rPr>
          <w:rStyle w:val="a8"/>
          <w:rFonts w:ascii="仿宋" w:eastAsia="仿宋" w:hAnsi="仿宋" w:cs="仿宋" w:hint="eastAsia"/>
          <w:b w:val="0"/>
          <w:color w:val="000000"/>
          <w:sz w:val="32"/>
          <w:szCs w:val="32"/>
        </w:rPr>
        <w:t>反映用于农产品及其投入品的质量安全评估、监测、抽查、认证、应急处置，相关标准的制定、修订、实施、监管等方面的支出。</w:t>
      </w:r>
    </w:p>
    <w:p w:rsidR="00EB5C51" w:rsidRDefault="000E23EF">
      <w:pPr>
        <w:ind w:firstLineChars="200" w:firstLine="640"/>
        <w:rPr>
          <w:rStyle w:val="a8"/>
          <w:rFonts w:ascii="仿宋" w:eastAsia="仿宋" w:hAnsi="仿宋" w:cs="仿宋"/>
          <w:b w:val="0"/>
          <w:color w:val="000000"/>
          <w:sz w:val="32"/>
          <w:szCs w:val="32"/>
        </w:rPr>
      </w:pPr>
      <w:r>
        <w:rPr>
          <w:rFonts w:ascii="仿宋_GB2312" w:eastAsia="仿宋_GB2312"/>
          <w:sz w:val="32"/>
          <w:szCs w:val="32"/>
        </w:rPr>
        <w:t>14.</w:t>
      </w:r>
      <w:r>
        <w:rPr>
          <w:rFonts w:ascii="仿宋" w:eastAsia="仿宋" w:hAnsi="仿宋" w:cs="仿宋" w:hint="eastAsia"/>
          <w:color w:val="000000"/>
          <w:sz w:val="32"/>
          <w:szCs w:val="32"/>
        </w:rPr>
        <w:t>农林水支出</w:t>
      </w:r>
      <w:r>
        <w:rPr>
          <w:rStyle w:val="a8"/>
          <w:rFonts w:ascii="仿宋" w:eastAsia="仿宋" w:hAnsi="仿宋" w:cs="仿宋" w:hint="eastAsia"/>
          <w:b w:val="0"/>
          <w:color w:val="000000"/>
          <w:sz w:val="32"/>
          <w:szCs w:val="32"/>
        </w:rPr>
        <w:t>（类）农业农村（款）其他农业农村支出（项）</w:t>
      </w:r>
      <w:r>
        <w:rPr>
          <w:rStyle w:val="a8"/>
          <w:rFonts w:ascii="仿宋" w:eastAsia="仿宋" w:hAnsi="仿宋" w:cs="仿宋"/>
          <w:b w:val="0"/>
          <w:color w:val="000000"/>
          <w:sz w:val="32"/>
          <w:szCs w:val="32"/>
        </w:rPr>
        <w:t>:</w:t>
      </w:r>
      <w:r>
        <w:rPr>
          <w:rStyle w:val="a8"/>
          <w:rFonts w:ascii="仿宋" w:eastAsia="仿宋" w:hAnsi="仿宋" w:cs="仿宋" w:hint="eastAsia"/>
          <w:b w:val="0"/>
          <w:color w:val="000000"/>
          <w:sz w:val="32"/>
          <w:szCs w:val="32"/>
        </w:rPr>
        <w:t>反映其他用于农业农村方面的支出。</w:t>
      </w:r>
    </w:p>
    <w:p w:rsidR="00EB5C51" w:rsidRDefault="000E23EF">
      <w:pPr>
        <w:ind w:firstLineChars="200" w:firstLine="640"/>
        <w:rPr>
          <w:rFonts w:ascii="仿宋_GB2312" w:eastAsia="仿宋_GB2312"/>
          <w:sz w:val="32"/>
          <w:szCs w:val="32"/>
        </w:rPr>
      </w:pPr>
      <w:r>
        <w:rPr>
          <w:rFonts w:ascii="仿宋_GB2312" w:eastAsia="仿宋_GB2312"/>
          <w:sz w:val="32"/>
          <w:szCs w:val="32"/>
        </w:rPr>
        <w:t>15.</w:t>
      </w:r>
      <w:r>
        <w:rPr>
          <w:rFonts w:ascii="仿宋" w:eastAsia="仿宋" w:hAnsi="仿宋" w:cs="仿宋" w:hint="eastAsia"/>
          <w:color w:val="000000"/>
          <w:sz w:val="32"/>
          <w:szCs w:val="32"/>
        </w:rPr>
        <w:t>住房保障支出</w:t>
      </w:r>
      <w:r>
        <w:rPr>
          <w:rStyle w:val="a8"/>
          <w:rFonts w:ascii="仿宋" w:eastAsia="仿宋" w:hAnsi="仿宋" w:cs="仿宋" w:hint="eastAsia"/>
          <w:b w:val="0"/>
          <w:color w:val="000000"/>
          <w:sz w:val="32"/>
          <w:szCs w:val="32"/>
        </w:rPr>
        <w:t>（类）住房改革支出（款）住房公积金（项）</w:t>
      </w:r>
      <w:r>
        <w:rPr>
          <w:rStyle w:val="a8"/>
          <w:rFonts w:ascii="仿宋" w:eastAsia="仿宋" w:hAnsi="仿宋" w:cs="仿宋"/>
          <w:b w:val="0"/>
          <w:color w:val="000000"/>
          <w:sz w:val="32"/>
          <w:szCs w:val="32"/>
        </w:rPr>
        <w:t>:</w:t>
      </w:r>
      <w:r>
        <w:rPr>
          <w:rStyle w:val="a8"/>
          <w:rFonts w:ascii="仿宋" w:eastAsia="仿宋" w:hAnsi="仿宋" w:cs="仿宋" w:hint="eastAsia"/>
          <w:b w:val="0"/>
          <w:color w:val="000000"/>
          <w:sz w:val="32"/>
          <w:szCs w:val="32"/>
        </w:rPr>
        <w:t>反映行政事业单位按人力资源和社会保障部、财政部规定的基本工资和津贴补贴以及规定比例为职工缴纳的住房公积金。</w:t>
      </w:r>
    </w:p>
    <w:p w:rsidR="00EB5C51" w:rsidRDefault="000E23EF">
      <w:pPr>
        <w:ind w:firstLineChars="200" w:firstLine="640"/>
        <w:rPr>
          <w:rFonts w:ascii="仿宋_GB2312" w:eastAsia="仿宋_GB2312"/>
          <w:sz w:val="32"/>
          <w:szCs w:val="32"/>
        </w:rPr>
      </w:pPr>
      <w:r>
        <w:rPr>
          <w:rFonts w:ascii="仿宋_GB2312" w:eastAsia="仿宋_GB2312" w:hint="eastAsia"/>
          <w:sz w:val="32"/>
          <w:szCs w:val="32"/>
        </w:rPr>
        <w:t>16</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EB5C51" w:rsidRDefault="000E23EF">
      <w:pPr>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EB5C51" w:rsidRDefault="000E23EF">
      <w:pPr>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lastRenderedPageBreak/>
        <w:t>19</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20</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B5C51" w:rsidRDefault="000E23EF">
      <w:pPr>
        <w:spacing w:line="600" w:lineRule="exact"/>
        <w:jc w:val="center"/>
        <w:outlineLvl w:val="0"/>
        <w:rPr>
          <w:rStyle w:val="1Char"/>
          <w:rFonts w:ascii="黑体" w:eastAsia="黑体" w:hAnsi="黑体"/>
          <w:b w:val="0"/>
        </w:rPr>
      </w:pPr>
      <w:bookmarkStart w:id="52" w:name="_Toc15377226"/>
      <w:r>
        <w:rPr>
          <w:rFonts w:ascii="宋体"/>
          <w:b/>
          <w:sz w:val="44"/>
          <w:szCs w:val="44"/>
        </w:rPr>
        <w:br w:type="page"/>
      </w:r>
      <w:bookmarkStart w:id="53"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3"/>
    </w:p>
    <w:p w:rsidR="00EB5C51" w:rsidRDefault="00EB5C51">
      <w:pPr>
        <w:spacing w:line="572" w:lineRule="exact"/>
        <w:jc w:val="left"/>
        <w:outlineLvl w:val="0"/>
        <w:rPr>
          <w:rFonts w:ascii="仿宋_GB2312" w:eastAsia="仿宋_GB2312" w:hAnsi="仿宋_GB2312" w:cs="仿宋_GB2312"/>
          <w:sz w:val="32"/>
          <w:szCs w:val="32"/>
        </w:rPr>
      </w:pPr>
    </w:p>
    <w:p w:rsidR="00EB5C51" w:rsidRDefault="000E23EF">
      <w:pPr>
        <w:spacing w:line="600" w:lineRule="exact"/>
        <w:jc w:val="center"/>
        <w:outlineLvl w:val="0"/>
        <w:rPr>
          <w:rFonts w:ascii="黑体" w:hAnsi="黑体"/>
          <w:color w:val="FF0000"/>
          <w:sz w:val="44"/>
          <w:szCs w:val="44"/>
        </w:rPr>
      </w:pPr>
      <w:bookmarkStart w:id="54" w:name="_Toc15396618"/>
      <w:r>
        <w:rPr>
          <w:rFonts w:hint="eastAsia"/>
          <w:sz w:val="32"/>
          <w:szCs w:val="32"/>
        </w:rPr>
        <w:t>部门预算项目支出绩效自评表（</w:t>
      </w:r>
      <w:r>
        <w:rPr>
          <w:rFonts w:hint="eastAsia"/>
          <w:sz w:val="32"/>
          <w:szCs w:val="32"/>
        </w:rPr>
        <w:t>2023</w:t>
      </w:r>
      <w:r>
        <w:rPr>
          <w:rFonts w:hint="eastAsia"/>
          <w:sz w:val="32"/>
          <w:szCs w:val="32"/>
        </w:rPr>
        <w:t>年度）见附件</w:t>
      </w:r>
      <w:r>
        <w:rPr>
          <w:rFonts w:hint="eastAsia"/>
          <w:sz w:val="32"/>
          <w:szCs w:val="32"/>
        </w:rPr>
        <w:t>3</w:t>
      </w:r>
    </w:p>
    <w:p w:rsidR="00EB5C51" w:rsidRDefault="00EB5C51">
      <w:pPr>
        <w:pStyle w:val="21"/>
        <w:spacing w:line="560" w:lineRule="exact"/>
        <w:ind w:leftChars="0" w:left="0" w:firstLine="640"/>
        <w:rPr>
          <w:sz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0E23EF">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5" w:name="_Toc15396619"/>
      <w:bookmarkEnd w:id="52"/>
      <w:bookmarkEnd w:id="54"/>
    </w:p>
    <w:p w:rsidR="00EB5C51" w:rsidRDefault="000E23EF">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5"/>
    </w:p>
    <w:p w:rsidR="00EB5C51" w:rsidRDefault="000E23EF">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EB5C51" w:rsidRDefault="000E23EF">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EB5C51" w:rsidRDefault="000E23EF">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EB5C51" w:rsidRDefault="000E23EF">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EB5C51" w:rsidRDefault="000E23EF">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EB5C51" w:rsidRDefault="000E23EF">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EB5C51" w:rsidRDefault="000E23EF">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EB5C51" w:rsidRDefault="000E23EF">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EB5C51" w:rsidRDefault="000E23EF">
      <w:pPr>
        <w:pStyle w:val="2"/>
        <w:rPr>
          <w:rFonts w:ascii="仿宋" w:eastAsia="仿宋" w:hAnsi="仿宋"/>
        </w:rPr>
      </w:pPr>
      <w:bookmarkStart w:id="64" w:name="_Toc15396628"/>
      <w:r>
        <w:rPr>
          <w:rStyle w:val="2Char"/>
          <w:rFonts w:ascii="仿宋" w:eastAsia="仿宋" w:hAnsi="仿宋" w:hint="eastAsia"/>
        </w:rPr>
        <w:t>十、</w:t>
      </w:r>
      <w:bookmarkEnd w:id="64"/>
      <w:r>
        <w:rPr>
          <w:rFonts w:ascii="仿宋" w:eastAsia="仿宋" w:hAnsi="仿宋" w:hint="eastAsia"/>
          <w:b w:val="0"/>
        </w:rPr>
        <w:t>政</w:t>
      </w:r>
      <w:r>
        <w:rPr>
          <w:rStyle w:val="2Char"/>
          <w:rFonts w:ascii="仿宋" w:eastAsia="仿宋" w:hAnsi="仿宋" w:hint="eastAsia"/>
        </w:rPr>
        <w:t>府性基金预算财政拨款收入支出决算表</w:t>
      </w:r>
    </w:p>
    <w:p w:rsidR="00EB5C51" w:rsidRDefault="000E23EF">
      <w:pPr>
        <w:pStyle w:val="2"/>
        <w:rPr>
          <w:rFonts w:ascii="仿宋" w:eastAsia="仿宋" w:hAnsi="仿宋"/>
        </w:rPr>
      </w:pPr>
      <w:bookmarkStart w:id="65" w:name="_Toc15396629"/>
      <w:r>
        <w:rPr>
          <w:rStyle w:val="2Char"/>
          <w:rFonts w:ascii="仿宋" w:eastAsia="仿宋" w:hAnsi="仿宋" w:hint="eastAsia"/>
        </w:rPr>
        <w:t>十一、</w:t>
      </w:r>
      <w:bookmarkEnd w:id="65"/>
      <w:r>
        <w:rPr>
          <w:rFonts w:ascii="仿宋" w:eastAsia="仿宋" w:hAnsi="仿宋" w:hint="eastAsia"/>
          <w:b w:val="0"/>
        </w:rPr>
        <w:t>国</w:t>
      </w:r>
      <w:r>
        <w:rPr>
          <w:rStyle w:val="2Char"/>
          <w:rFonts w:ascii="仿宋" w:eastAsia="仿宋" w:hAnsi="仿宋" w:hint="eastAsia"/>
        </w:rPr>
        <w:t>有资本经营预算财政拨款收入支出决算表</w:t>
      </w:r>
    </w:p>
    <w:p w:rsidR="00EB5C51" w:rsidRDefault="000E23EF">
      <w:pPr>
        <w:pStyle w:val="2"/>
        <w:rPr>
          <w:rFonts w:ascii="仿宋" w:eastAsia="仿宋" w:hAnsi="仿宋"/>
        </w:rPr>
      </w:pPr>
      <w:bookmarkStart w:id="66" w:name="_Toc15396630"/>
      <w:r>
        <w:rPr>
          <w:rStyle w:val="2Char"/>
          <w:rFonts w:ascii="仿宋" w:eastAsia="仿宋" w:hAnsi="仿宋" w:hint="eastAsia"/>
        </w:rPr>
        <w:t>十二、</w:t>
      </w:r>
      <w:bookmarkEnd w:id="66"/>
      <w:r>
        <w:rPr>
          <w:rStyle w:val="2Char"/>
          <w:rFonts w:ascii="仿宋" w:eastAsia="仿宋" w:hAnsi="仿宋" w:hint="eastAsia"/>
        </w:rPr>
        <w:t>国有资本经营预算财政拨款支出决算表</w:t>
      </w:r>
    </w:p>
    <w:p w:rsidR="00EB5C51" w:rsidRDefault="000E23EF">
      <w:pPr>
        <w:pStyle w:val="2"/>
        <w:rPr>
          <w:rFonts w:eastAsia="仿宋"/>
        </w:rPr>
      </w:pPr>
      <w:bookmarkStart w:id="67" w:name="_Toc15396631"/>
      <w:r>
        <w:rPr>
          <w:rStyle w:val="2Char"/>
          <w:rFonts w:ascii="仿宋" w:eastAsia="仿宋" w:hAnsi="仿宋" w:hint="eastAsia"/>
        </w:rPr>
        <w:t>十三、</w:t>
      </w:r>
      <w:bookmarkEnd w:id="67"/>
      <w:r>
        <w:rPr>
          <w:rStyle w:val="2Char"/>
          <w:rFonts w:ascii="仿宋" w:eastAsia="仿宋" w:hAnsi="仿宋" w:hint="eastAsia"/>
        </w:rPr>
        <w:t>财政拨款“三公”经费支出决算表</w:t>
      </w:r>
    </w:p>
    <w:sectPr w:rsidR="00EB5C51">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517" w:rsidRDefault="00FD0517">
      <w:r>
        <w:separator/>
      </w:r>
    </w:p>
  </w:endnote>
  <w:endnote w:type="continuationSeparator" w:id="0">
    <w:p w:rsidR="00FD0517" w:rsidRDefault="00FD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81956"/>
    </w:sdtPr>
    <w:sdtEndPr/>
    <w:sdtContent>
      <w:p w:rsidR="00EB5C51" w:rsidRDefault="000E23EF">
        <w:pPr>
          <w:pStyle w:val="a6"/>
          <w:jc w:val="center"/>
        </w:pPr>
        <w:r>
          <w:fldChar w:fldCharType="begin"/>
        </w:r>
        <w:r>
          <w:instrText>PAGE   \* MERGEFORMAT</w:instrText>
        </w:r>
        <w:r>
          <w:fldChar w:fldCharType="separate"/>
        </w:r>
        <w:r w:rsidR="00F72252" w:rsidRPr="00F72252">
          <w:rPr>
            <w:noProof/>
            <w:lang w:val="zh-CN"/>
          </w:rPr>
          <w:t>15</w:t>
        </w:r>
        <w:r>
          <w:fldChar w:fldCharType="end"/>
        </w:r>
      </w:p>
    </w:sdtContent>
  </w:sdt>
  <w:p w:rsidR="00EB5C51" w:rsidRDefault="00EB5C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517" w:rsidRDefault="00FD0517">
      <w:r>
        <w:separator/>
      </w:r>
    </w:p>
  </w:footnote>
  <w:footnote w:type="continuationSeparator" w:id="0">
    <w:p w:rsidR="00FD0517" w:rsidRDefault="00FD0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51" w:rsidRDefault="00EB5C5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2B44"/>
    <w:rsid w:val="FFECCD8C"/>
    <w:rsid w:val="FFED60BD"/>
    <w:rsid w:val="FFEE08F0"/>
    <w:rsid w:val="FFEE7F9F"/>
    <w:rsid w:val="FFFF319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23EF"/>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2CA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B5C51"/>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2252"/>
    <w:rsid w:val="00F754A1"/>
    <w:rsid w:val="00F81FD9"/>
    <w:rsid w:val="00F841AA"/>
    <w:rsid w:val="00F84A94"/>
    <w:rsid w:val="00F87E96"/>
    <w:rsid w:val="00FA23E8"/>
    <w:rsid w:val="00FD0517"/>
    <w:rsid w:val="00FD3CC1"/>
    <w:rsid w:val="00FF1E02"/>
    <w:rsid w:val="00FF30B4"/>
    <w:rsid w:val="01C026EF"/>
    <w:rsid w:val="01FF324A"/>
    <w:rsid w:val="03DC2831"/>
    <w:rsid w:val="081B5E94"/>
    <w:rsid w:val="0A2032A3"/>
    <w:rsid w:val="0B8A37D8"/>
    <w:rsid w:val="0E5E4FBC"/>
    <w:rsid w:val="0F5FFB2F"/>
    <w:rsid w:val="0FAF30B2"/>
    <w:rsid w:val="0FFFCF60"/>
    <w:rsid w:val="10C055FF"/>
    <w:rsid w:val="118107EC"/>
    <w:rsid w:val="11DD6519"/>
    <w:rsid w:val="16BB723D"/>
    <w:rsid w:val="18000F6D"/>
    <w:rsid w:val="18015F3F"/>
    <w:rsid w:val="189D42EF"/>
    <w:rsid w:val="1BE8440E"/>
    <w:rsid w:val="1BE94F47"/>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5B5660D"/>
    <w:rsid w:val="471D09E7"/>
    <w:rsid w:val="47ED7C59"/>
    <w:rsid w:val="48BF60AB"/>
    <w:rsid w:val="493C27E9"/>
    <w:rsid w:val="496F39ED"/>
    <w:rsid w:val="49E30493"/>
    <w:rsid w:val="49FF41D3"/>
    <w:rsid w:val="4BE068DB"/>
    <w:rsid w:val="4BF6002B"/>
    <w:rsid w:val="4BFFC6BE"/>
    <w:rsid w:val="4ECE2238"/>
    <w:rsid w:val="51DB4B86"/>
    <w:rsid w:val="51F64DB0"/>
    <w:rsid w:val="52BB2B35"/>
    <w:rsid w:val="55333C3E"/>
    <w:rsid w:val="55EA36B4"/>
    <w:rsid w:val="561D294C"/>
    <w:rsid w:val="566B5BFE"/>
    <w:rsid w:val="5A467BD5"/>
    <w:rsid w:val="5C5F2C46"/>
    <w:rsid w:val="5F67802D"/>
    <w:rsid w:val="5F7DC4F2"/>
    <w:rsid w:val="5FB36814"/>
    <w:rsid w:val="5FBB8E56"/>
    <w:rsid w:val="5FFB5535"/>
    <w:rsid w:val="63621318"/>
    <w:rsid w:val="64CA39A1"/>
    <w:rsid w:val="65465914"/>
    <w:rsid w:val="69630ADE"/>
    <w:rsid w:val="69BD5F13"/>
    <w:rsid w:val="69FB0B4B"/>
    <w:rsid w:val="6A017EF7"/>
    <w:rsid w:val="6B0351CD"/>
    <w:rsid w:val="6BFFE1FB"/>
    <w:rsid w:val="6C4A05C8"/>
    <w:rsid w:val="6D3B1A89"/>
    <w:rsid w:val="6D9D27CD"/>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98957"/>
    <w:rsid w:val="7F5DA057"/>
    <w:rsid w:val="7F6C2237"/>
    <w:rsid w:val="7F7F319B"/>
    <w:rsid w:val="7F9F20EE"/>
    <w:rsid w:val="7FBBE890"/>
    <w:rsid w:val="7FBC2ABD"/>
    <w:rsid w:val="7FBF5D48"/>
    <w:rsid w:val="7FCCFC01"/>
    <w:rsid w:val="7FDD1748"/>
    <w:rsid w:val="7FE769C6"/>
    <w:rsid w:val="7FFD083E"/>
    <w:rsid w:val="7FFF9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E8EB41-6E29-4B4C-982D-54B036F5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1"/>
    <w:uiPriority w:val="99"/>
    <w:qFormat/>
    <w:rPr>
      <w:b/>
    </w:rPr>
  </w:style>
  <w:style w:type="character" w:styleId="a9">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E:\2024\2023&#20915;&#31639;&#25209;&#22797;\&#2227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2024\2023&#20915;&#31639;&#25209;&#22797;\&#2227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2024\2023&#20915;&#31639;&#25209;&#22797;\&#2227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2024\2023&#20915;&#31639;&#25209;&#22797;\&#2227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2024\2023&#20915;&#31639;&#25209;&#22797;\&#2227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2024\2023&#20915;&#31639;&#25209;&#22797;\&#2227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2024\2023&#20915;&#31639;&#25209;&#22797;\&#22270;.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p>
        </c:rich>
      </c:tx>
      <c:layout>
        <c:manualLayout>
          <c:xMode val="edge"/>
          <c:yMode val="edge"/>
          <c:x val="0.26305555555555599"/>
          <c:y val="6.9204152249135002E-3"/>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"收支总计"</c:f>
              <c:strCache>
                <c:ptCount val="1"/>
                <c:pt idx="0">
                  <c:v>收支总计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[图.xlsx]Sheet1!$C$5:$C$6</c:f>
              <c:strCache>
                <c:ptCount val="2"/>
                <c:pt idx="0">
                  <c:v>2023年</c:v>
                </c:pt>
                <c:pt idx="1">
                  <c:v>2022年</c:v>
                </c:pt>
              </c:strCache>
            </c:strRef>
          </c:cat>
          <c:val>
            <c:numRef>
              <c:f>[图.xlsx]Sheet1!$D$5:$D$6</c:f>
              <c:numCache>
                <c:formatCode>General</c:formatCode>
                <c:ptCount val="2"/>
                <c:pt idx="0">
                  <c:v>482.74</c:v>
                </c:pt>
                <c:pt idx="1">
                  <c:v>440.81</c:v>
                </c:pt>
              </c:numCache>
            </c:numRef>
          </c:val>
        </c:ser>
        <c:dLbls>
          <c:showLegendKey val="0"/>
          <c:showVal val="1"/>
          <c:showCatName val="0"/>
          <c:showSerName val="0"/>
          <c:showPercent val="0"/>
          <c:showBubbleSize val="0"/>
        </c:dLbls>
        <c:gapWidth val="219"/>
        <c:overlap val="-27"/>
        <c:axId val="-360425472"/>
        <c:axId val="-360411872"/>
      </c:barChart>
      <c:catAx>
        <c:axId val="-360425472"/>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0411872"/>
        <c:crosses val="autoZero"/>
        <c:auto val="1"/>
        <c:lblAlgn val="ctr"/>
        <c:lblOffset val="100"/>
        <c:noMultiLvlLbl val="0"/>
      </c:catAx>
      <c:valAx>
        <c:axId val="-360411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万元</a:t>
                </a:r>
              </a:p>
            </c:rich>
          </c:tx>
          <c:overlay val="0"/>
          <c:spPr>
            <a:noFill/>
            <a:ln>
              <a:noFill/>
            </a:ln>
            <a:effectLst/>
          </c:spPr>
          <c:txPr>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04254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收入决算结构图</a:t>
            </a:r>
          </a:p>
        </c:rich>
      </c:tx>
      <c:layout>
        <c:manualLayout>
          <c:xMode val="edge"/>
          <c:yMode val="edge"/>
          <c:x val="0.34361111111111098"/>
          <c:y val="2.7777777777777801E-2"/>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doughnut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cat>
            <c:strRef>
              <c:f>[图.xlsx]Sheet1!$C$21:$C$28</c:f>
              <c:strCache>
                <c:ptCount val="8"/>
                <c:pt idx="0">
                  <c:v>一、一般公共预算财政拨款收入</c:v>
                </c:pt>
                <c:pt idx="1">
                  <c:v>二、政府性基金预算财政拨款收入</c:v>
                </c:pt>
                <c:pt idx="2">
                  <c:v>三、国有资本经营预算财政拨款收入</c:v>
                </c:pt>
                <c:pt idx="3">
                  <c:v>四、上级补助收入</c:v>
                </c:pt>
                <c:pt idx="4">
                  <c:v>五、事业收入</c:v>
                </c:pt>
                <c:pt idx="5">
                  <c:v>六、经营收入</c:v>
                </c:pt>
                <c:pt idx="6">
                  <c:v>七、附属单位上缴收入</c:v>
                </c:pt>
                <c:pt idx="7">
                  <c:v>八、其他收入</c:v>
                </c:pt>
              </c:strCache>
            </c:strRef>
          </c:cat>
          <c:val>
            <c:numRef>
              <c:f>[图.xlsx]Sheet1!$D$21:$D$28</c:f>
              <c:numCache>
                <c:formatCode>#,##0.00</c:formatCode>
                <c:ptCount val="8"/>
                <c:pt idx="0" formatCode="General">
                  <c:v>482.74</c:v>
                </c:pt>
                <c:pt idx="1">
                  <c:v>0</c:v>
                </c:pt>
                <c:pt idx="2">
                  <c:v>0</c:v>
                </c:pt>
                <c:pt idx="3">
                  <c:v>0</c:v>
                </c:pt>
                <c:pt idx="4">
                  <c:v>0</c:v>
                </c:pt>
                <c:pt idx="5">
                  <c:v>0</c:v>
                </c:pt>
                <c:pt idx="6">
                  <c:v>0</c:v>
                </c:pt>
                <c:pt idx="7">
                  <c:v>0</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4.1666666666666701E-3"/>
          <c:y val="0.7249999999999999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doughnut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[图.xlsx]Sheet1!$C$39:$G$39</c:f>
              <c:strCache>
                <c:ptCount val="5"/>
                <c:pt idx="0">
                  <c:v>基本支出</c:v>
                </c:pt>
                <c:pt idx="1">
                  <c:v>项目支出</c:v>
                </c:pt>
                <c:pt idx="2">
                  <c:v>上缴上级支出</c:v>
                </c:pt>
                <c:pt idx="3">
                  <c:v>经营支出</c:v>
                </c:pt>
                <c:pt idx="4">
                  <c:v>对附属单位补助支出</c:v>
                </c:pt>
              </c:strCache>
            </c:strRef>
          </c:cat>
          <c:val>
            <c:numRef>
              <c:f>[图.xlsx]Sheet1!$C$40:$G$40</c:f>
              <c:numCache>
                <c:formatCode>General</c:formatCode>
                <c:ptCount val="5"/>
              </c:numCache>
            </c:numRef>
          </c:val>
        </c:ser>
        <c:ser>
          <c:idx val="1"/>
          <c:order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[图.xlsx]Sheet1!$C$39:$G$39</c:f>
              <c:strCache>
                <c:ptCount val="5"/>
                <c:pt idx="0">
                  <c:v>基本支出</c:v>
                </c:pt>
                <c:pt idx="1">
                  <c:v>项目支出</c:v>
                </c:pt>
                <c:pt idx="2">
                  <c:v>上缴上级支出</c:v>
                </c:pt>
                <c:pt idx="3">
                  <c:v>经营支出</c:v>
                </c:pt>
                <c:pt idx="4">
                  <c:v>对附属单位补助支出</c:v>
                </c:pt>
              </c:strCache>
            </c:strRef>
          </c:cat>
          <c:val>
            <c:numRef>
              <c:f>[图.xlsx]Sheet1!$C$41:$G$41</c:f>
              <c:numCache>
                <c:formatCode>General</c:formatCode>
                <c:ptCount val="5"/>
                <c:pt idx="0">
                  <c:v>318.45999999999998</c:v>
                </c:pt>
                <c:pt idx="1">
                  <c:v>164.28</c:v>
                </c:pt>
                <c:pt idx="2">
                  <c:v>0</c:v>
                </c:pt>
                <c:pt idx="3">
                  <c:v>0</c:v>
                </c:pt>
                <c:pt idx="4">
                  <c:v>0</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rPr lang="zh-CN" altLang="en-US"/>
              <a:t>财政拨款收、支决算总计变动情况图</a:t>
            </a:r>
          </a:p>
        </c:rich>
      </c:tx>
      <c:overlay val="0"/>
      <c:spPr>
        <a:noFill/>
        <a:ln>
          <a:noFill/>
        </a:ln>
        <a:effectLst/>
      </c:spPr>
      <c:txPr>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"收支总计"</c:f>
              <c:strCache>
                <c:ptCount val="1"/>
                <c:pt idx="0">
                  <c:v>收支总计</c:v>
                </c:pt>
              </c:strCache>
            </c:strRef>
          </c:tx>
          <c:spPr>
            <a:solidFill>
              <a:schemeClr val="accent1"/>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[图.xlsx]Sheet1!$C$5:$C$6</c:f>
              <c:strCache>
                <c:ptCount val="2"/>
                <c:pt idx="0">
                  <c:v>2023年</c:v>
                </c:pt>
                <c:pt idx="1">
                  <c:v>2022年</c:v>
                </c:pt>
              </c:strCache>
            </c:strRef>
          </c:cat>
          <c:val>
            <c:numRef>
              <c:f>[图.xlsx]Sheet1!$D$5:$D$6</c:f>
              <c:numCache>
                <c:formatCode>General</c:formatCode>
                <c:ptCount val="2"/>
                <c:pt idx="0">
                  <c:v>482.74</c:v>
                </c:pt>
                <c:pt idx="1">
                  <c:v>440.81</c:v>
                </c:pt>
              </c:numCache>
            </c:numRef>
          </c:val>
        </c:ser>
        <c:dLbls>
          <c:showLegendKey val="0"/>
          <c:showVal val="1"/>
          <c:showCatName val="0"/>
          <c:showSerName val="0"/>
          <c:showPercent val="0"/>
          <c:showBubbleSize val="0"/>
        </c:dLbls>
        <c:gapWidth val="444"/>
        <c:overlap val="-90"/>
        <c:axId val="-360411328"/>
        <c:axId val="-360404800"/>
      </c:barChart>
      <c:catAx>
        <c:axId val="-360411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endParaRPr lang="zh-CN"/>
          </a:p>
        </c:txPr>
        <c:crossAx val="-360404800"/>
        <c:crosses val="autoZero"/>
        <c:auto val="1"/>
        <c:lblAlgn val="ctr"/>
        <c:lblOffset val="100"/>
        <c:noMultiLvlLbl val="0"/>
      </c:catAx>
      <c:valAx>
        <c:axId val="-360404800"/>
        <c:scaling>
          <c:orientation val="minMax"/>
        </c:scaling>
        <c:delete val="1"/>
        <c:axPos val="l"/>
        <c:title>
          <c:tx>
            <c:rich>
              <a:bodyPr rot="-5400000" spcFirstLastPara="0" vertOverflow="ellipsis" vert="horz" wrap="square" anchor="ctr" anchorCtr="1"/>
              <a:lstStyle/>
              <a:p>
                <a:pPr defTabSz="914400">
                  <a:defRPr lang="zh-CN" sz="900" b="0" i="0" u="none" strike="noStrike" kern="1200" cap="all" baseline="0">
                    <a:solidFill>
                      <a:schemeClr val="tx1">
                        <a:lumMod val="65000"/>
                        <a:lumOff val="35000"/>
                      </a:schemeClr>
                    </a:solidFill>
                    <a:latin typeface="+mn-lt"/>
                    <a:ea typeface="+mn-ea"/>
                    <a:cs typeface="+mn-cs"/>
                  </a:defRPr>
                </a:pPr>
                <a:r>
                  <a:rPr lang="zh-CN" altLang="en-US"/>
                  <a:t>万元</a:t>
                </a:r>
              </a:p>
            </c:rich>
          </c:tx>
          <c:overlay val="0"/>
          <c:spPr>
            <a:noFill/>
            <a:ln>
              <a:noFill/>
            </a:ln>
            <a:effectLst/>
          </c:spPr>
          <c:txPr>
            <a:bodyPr rot="-5400000" spcFirstLastPara="0" vertOverflow="ellipsis" vert="horz" wrap="square" anchor="ctr" anchorCtr="1"/>
            <a:lstStyle/>
            <a:p>
              <a:pPr defTabSz="914400">
                <a:defRPr lang="zh-CN" sz="900" b="0" i="0" u="none" strike="noStrike" kern="1200" cap="all" baseline="0">
                  <a:solidFill>
                    <a:schemeClr val="tx1">
                      <a:lumMod val="65000"/>
                      <a:lumOff val="35000"/>
                    </a:schemeClr>
                  </a:solidFill>
                  <a:latin typeface="+mn-lt"/>
                  <a:ea typeface="+mn-ea"/>
                  <a:cs typeface="+mn-cs"/>
                </a:defRPr>
              </a:pPr>
              <a:endParaRPr lang="zh-CN"/>
            </a:p>
          </c:txPr>
        </c:title>
        <c:numFmt formatCode="General" sourceLinked="1"/>
        <c:majorTickMark val="out"/>
        <c:minorTickMark val="none"/>
        <c:tickLblPos val="nextTo"/>
        <c:crossAx val="-36041132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spc="150" baseline="0">
                <a:solidFill>
                  <a:schemeClr val="tx1">
                    <a:lumMod val="50000"/>
                    <a:lumOff val="50000"/>
                  </a:schemeClr>
                </a:solidFill>
                <a:latin typeface="+mn-lt"/>
                <a:ea typeface="+mn-ea"/>
                <a:cs typeface="+mn-cs"/>
              </a:defRPr>
            </a:pPr>
            <a:r>
              <a:rPr lang="zh-CN" altLang="en-US"/>
              <a:t>一般公共预算财政拨款支出决算变动情况</a:t>
            </a:r>
          </a:p>
        </c:rich>
      </c:tx>
      <c:overlay val="0"/>
      <c:spPr>
        <a:noFill/>
        <a:ln>
          <a:noFill/>
        </a:ln>
        <a:effectLst/>
      </c:spPr>
      <c:txPr>
        <a:bodyPr rot="0" spcFirstLastPara="0" vertOverflow="ellipsis" vert="horz" wrap="square" anchor="ctr" anchorCtr="1"/>
        <a:lstStyle/>
        <a:p>
          <a:pPr defTabSz="914400">
            <a:defRPr lang="zh-CN" sz="1800" b="1" i="0" u="none" strike="noStrike" kern="1200" cap="all" spc="150" baseline="0">
              <a:solidFill>
                <a:schemeClr val="tx1">
                  <a:lumMod val="50000"/>
                  <a:lumOff val="50000"/>
                </a:schemeClr>
              </a:solidFill>
              <a:latin typeface="+mn-lt"/>
              <a:ea typeface="+mn-ea"/>
              <a:cs typeface="+mn-cs"/>
            </a:defRPr>
          </a:pPr>
          <a:endParaRPr lang="zh-CN"/>
        </a:p>
      </c:txPr>
    </c:title>
    <c:autoTitleDeleted val="0"/>
    <c:plotArea>
      <c:layout/>
      <c:barChart>
        <c:barDir val="col"/>
        <c:grouping val="clustered"/>
        <c:varyColors val="0"/>
        <c:ser>
          <c:idx val="0"/>
          <c:order val="0"/>
          <c:tx>
            <c:strRef>
              <c:f>"收支总计"</c:f>
              <c:strCache>
                <c:ptCount val="1"/>
                <c:pt idx="0">
                  <c:v>收支总计</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[图.xlsx]Sheet1!$C$5:$C$6</c:f>
              <c:strCache>
                <c:ptCount val="2"/>
                <c:pt idx="0">
                  <c:v>2023年</c:v>
                </c:pt>
                <c:pt idx="1">
                  <c:v>2022年</c:v>
                </c:pt>
              </c:strCache>
            </c:strRef>
          </c:cat>
          <c:val>
            <c:numRef>
              <c:f>[图.xlsx]Sheet1!$D$5:$D$6</c:f>
              <c:numCache>
                <c:formatCode>General</c:formatCode>
                <c:ptCount val="2"/>
                <c:pt idx="0">
                  <c:v>482.74</c:v>
                </c:pt>
                <c:pt idx="1">
                  <c:v>440.81</c:v>
                </c:pt>
              </c:numCache>
            </c:numRef>
          </c:val>
        </c:ser>
        <c:dLbls>
          <c:showLegendKey val="0"/>
          <c:showVal val="1"/>
          <c:showCatName val="0"/>
          <c:showSerName val="0"/>
          <c:showPercent val="0"/>
          <c:showBubbleSize val="0"/>
        </c:dLbls>
        <c:gapWidth val="150"/>
        <c:overlap val="-25"/>
        <c:axId val="-986249536"/>
        <c:axId val="-986245184"/>
      </c:barChart>
      <c:catAx>
        <c:axId val="-986249536"/>
        <c:scaling>
          <c:orientation val="minMax"/>
        </c:scaling>
        <c:delete val="0"/>
        <c:axPos val="b"/>
        <c:numFmt formatCode="General" sourceLinked="0"/>
        <c:majorTickMark val="out"/>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86245184"/>
        <c:crosses val="autoZero"/>
        <c:auto val="1"/>
        <c:lblAlgn val="ctr"/>
        <c:lblOffset val="100"/>
        <c:noMultiLvlLbl val="0"/>
      </c:catAx>
      <c:valAx>
        <c:axId val="-986245184"/>
        <c:scaling>
          <c:orientation val="minMax"/>
        </c:scaling>
        <c:delete val="1"/>
        <c:axPos val="l"/>
        <c:numFmt formatCode="General" sourceLinked="1"/>
        <c:majorTickMark val="out"/>
        <c:minorTickMark val="none"/>
        <c:tickLblPos val="nextTo"/>
        <c:crossAx val="-986249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rPr lang="zh-CN" altLang="en-US"/>
              <a:t>一般公共预算财政拨款支出决算结构</a:t>
            </a:r>
          </a:p>
        </c:rich>
      </c:tx>
      <c:overlay val="0"/>
      <c:spPr>
        <a:noFill/>
        <a:ln>
          <a:noFill/>
        </a:ln>
        <a:effectLst/>
      </c:spPr>
      <c:txPr>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endParaRPr lang="zh-CN"/>
        </a:p>
      </c:txPr>
    </c:title>
    <c:autoTitleDeleted val="0"/>
    <c:plotArea>
      <c:layout/>
      <c:doughnut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endParaRPr lang="zh-CN"/>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[图.xlsx]Sheet1!$N$27:$N$29</c:f>
              <c:strCache>
                <c:ptCount val="3"/>
                <c:pt idx="0">
                  <c:v>社会保障和就业支出</c:v>
                </c:pt>
                <c:pt idx="1">
                  <c:v>农林水支出</c:v>
                </c:pt>
                <c:pt idx="2">
                  <c:v>住房保障支出</c:v>
                </c:pt>
              </c:strCache>
            </c:strRef>
          </c:cat>
          <c:val>
            <c:numRef>
              <c:f>[图.xlsx]Sheet1!$O$27:$O$29</c:f>
              <c:numCache>
                <c:formatCode>General</c:formatCode>
                <c:ptCount val="3"/>
                <c:pt idx="0">
                  <c:v>55.64</c:v>
                </c:pt>
                <c:pt idx="1">
                  <c:v>404.73</c:v>
                </c:pt>
                <c:pt idx="2">
                  <c:v>22.37</c:v>
                </c:pt>
              </c:numCache>
            </c:numRef>
          </c:val>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“三公”经费财政拨款支出结构</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[图.xlsx]Sheet1!$C$61:$E$61</c:f>
              <c:strCache>
                <c:ptCount val="3"/>
                <c:pt idx="0">
                  <c:v>因公出国（境）费用</c:v>
                </c:pt>
                <c:pt idx="1">
                  <c:v>公务用车购置及运行费</c:v>
                </c:pt>
                <c:pt idx="2">
                  <c:v>公务接待费</c:v>
                </c:pt>
              </c:strCache>
            </c:strRef>
          </c:cat>
          <c:val>
            <c:numRef>
              <c:f>[图.xlsx]Sheet1!$C$62:$E$62</c:f>
              <c:numCache>
                <c:formatCode>General</c:formatCode>
                <c:ptCount val="3"/>
                <c:pt idx="0" formatCode="0.00_ ">
                  <c:v>0</c:v>
                </c:pt>
                <c:pt idx="1">
                  <c:v>2.91</c:v>
                </c:pt>
                <c:pt idx="2">
                  <c:v>0.32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837</Words>
  <Characters>4772</Characters>
  <Application>Microsoft Office Word</Application>
  <DocSecurity>0</DocSecurity>
  <Lines>39</Lines>
  <Paragraphs>11</Paragraphs>
  <ScaleCrop>false</ScaleCrop>
  <Company>四川省财政厅</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邓小舟</cp:lastModifiedBy>
  <cp:revision>41</cp:revision>
  <cp:lastPrinted>2023-08-03T18:35:00Z</cp:lastPrinted>
  <dcterms:created xsi:type="dcterms:W3CDTF">2020-08-08T17:49:00Z</dcterms:created>
  <dcterms:modified xsi:type="dcterms:W3CDTF">2025-01-07T12:16:00Z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