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425"/>
      <w:bookmarkStart w:id="2" w:name="_Toc15306267"/>
      <w:bookmarkStart w:id="3" w:name="_Toc15377193"/>
      <w:bookmarkStart w:id="4" w:name="_Toc15396475"/>
      <w:bookmarkStart w:id="5" w:name="_Toc15378441"/>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2025年度攀西无公害农产品监测中心</w:t>
      </w:r>
    </w:p>
    <w:p>
      <w:pPr>
        <w:pStyle w:val="2"/>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决算公开文字说明</w:t>
      </w:r>
    </w:p>
    <w:p>
      <w:pPr>
        <w:spacing w:line="600" w:lineRule="exact"/>
        <w:jc w:val="center"/>
        <w:outlineLvl w:val="0"/>
        <w:rPr>
          <w:rFonts w:ascii="Times New Roman" w:hAnsi="Times New Roman" w:eastAsia="方正小标宋简体"/>
          <w:color w:val="auto"/>
          <w:sz w:val="72"/>
          <w:szCs w:val="72"/>
          <w:highlight w:val="none"/>
        </w:rPr>
      </w:pPr>
    </w:p>
    <w:p>
      <w:pPr>
        <w:pStyle w:val="19"/>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numberInDash" w:chapStyle="1"/>
          <w:cols w:space="425" w:num="1"/>
          <w:titlePg/>
          <w:docGrid w:type="lines" w:linePitch="312" w:charSpace="0"/>
        </w:sectPr>
      </w:pPr>
    </w:p>
    <w:bookmarkEnd w:id="0"/>
    <w:bookmarkEnd w:id="1"/>
    <w:bookmarkEnd w:id="2"/>
    <w:bookmarkEnd w:id="3"/>
    <w:bookmarkEnd w:id="4"/>
    <w:bookmarkEnd w:id="5"/>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default" w:ascii="Times New Roman" w:hAnsi="Times New Roman" w:eastAsia="仿宋_GB2312" w:cs="仿宋_GB2312"/>
          <w:color w:val="auto"/>
          <w:sz w:val="32"/>
          <w:szCs w:val="32"/>
          <w:highlight w:val="none"/>
          <w:lang w:val="en" w:eastAsia="zh-CN"/>
        </w:rPr>
        <w:t>11</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sdt>
      <w:sdtPr>
        <w:rPr>
          <w:rFonts w:ascii="Times New Roman" w:hAnsi="Times New Roman" w:eastAsia="宋体" w:cs="Times New Roman"/>
          <w:kern w:val="2"/>
          <w:sz w:val="21"/>
          <w:szCs w:val="24"/>
          <w:lang w:val="en-US" w:eastAsia="zh-CN" w:bidi="ar-SA"/>
        </w:rPr>
        <w:id w:val="147481915"/>
        <w15:color w:val="DBDBDB"/>
        <w:docPartObj>
          <w:docPartGallery w:val="Table of Contents"/>
          <w:docPartUnique/>
        </w:docPartObj>
      </w:sdtPr>
      <w:sdtEndPr>
        <w:rPr>
          <w:rFonts w:ascii="Times New Roman" w:hAnsi="Times New Roman" w:eastAsia="宋体" w:cs="Times New Roman"/>
          <w:kern w:val="2"/>
          <w:sz w:val="32"/>
          <w:szCs w:val="32"/>
          <w:lang w:val="en-US" w:eastAsia="zh-CN" w:bidi="ar-SA"/>
        </w:rPr>
      </w:sdtEndPr>
      <w:sdtContent>
        <w:p>
          <w:pPr>
            <w:spacing w:before="0" w:beforeLines="0" w:after="0" w:afterLines="0" w:line="240" w:lineRule="auto"/>
            <w:ind w:left="0" w:leftChars="0" w:right="0" w:rightChars="0" w:firstLine="0" w:firstLineChars="0"/>
            <w:jc w:val="center"/>
            <w:rPr>
              <w:rFonts w:ascii="Times New Roman" w:hAnsi="Times New Roman"/>
            </w:rPr>
          </w:pPr>
          <w:bookmarkStart w:id="6" w:name="_Toc10958_WPSOffice_Type2"/>
        </w:p>
        <w:p>
          <w:pPr>
            <w:pStyle w:val="35"/>
            <w:tabs>
              <w:tab w:val="right" w:leader="dot" w:pos="8306"/>
            </w:tabs>
            <w:rPr>
              <w:rFonts w:ascii="Times New Roman" w:hAnsi="Times New Roman"/>
              <w:sz w:val="32"/>
              <w:szCs w:val="32"/>
            </w:rPr>
          </w:pPr>
          <w:r>
            <w:rPr>
              <w:rFonts w:ascii="Times New Roman" w:hAnsi="Times New Roman"/>
              <w:b/>
              <w:bCs/>
              <w:sz w:val="32"/>
              <w:szCs w:val="32"/>
            </w:rPr>
            <w:fldChar w:fldCharType="begin"/>
          </w:r>
          <w:r>
            <w:rPr>
              <w:rFonts w:ascii="Times New Roman" w:hAnsi="Times New Roman"/>
              <w:sz w:val="32"/>
              <w:szCs w:val="32"/>
            </w:rPr>
            <w:instrText xml:space="preserve"> HYPERLINK \l _Toc6916_WPSOffice_Level1 </w:instrText>
          </w:r>
          <w:r>
            <w:rPr>
              <w:rFonts w:ascii="Times New Roman" w:hAnsi="Times New Roman"/>
              <w:b/>
              <w:bCs/>
              <w:sz w:val="32"/>
              <w:szCs w:val="32"/>
            </w:rPr>
            <w:fldChar w:fldCharType="separate"/>
          </w:r>
          <w:sdt>
            <w:sdtPr>
              <w:rPr>
                <w:rFonts w:ascii="Times New Roman" w:hAnsi="Times New Roman" w:eastAsia="宋体" w:cs="Times New Roman"/>
                <w:b/>
                <w:bCs/>
                <w:kern w:val="2"/>
                <w:sz w:val="32"/>
                <w:szCs w:val="32"/>
                <w:lang w:val="en-US" w:eastAsia="zh-CN" w:bidi="ar-SA"/>
              </w:rPr>
              <w:id w:val="147481915"/>
              <w:placeholder>
                <w:docPart w:val="{9982d37a-8c30-4185-a85d-3b6d2d703109}"/>
              </w:placeholder>
              <w15:color w:val="509DF3"/>
            </w:sdtPr>
            <w:sdtEndPr>
              <w:rPr>
                <w:rFonts w:ascii="Times New Roman" w:hAnsi="Times New Roman" w:eastAsia="宋体" w:cs="Times New Roman"/>
                <w:b/>
                <w:bCs/>
                <w:kern w:val="2"/>
                <w:sz w:val="32"/>
                <w:szCs w:val="32"/>
                <w:lang w:val="en-US" w:eastAsia="zh-CN" w:bidi="ar-SA"/>
              </w:rPr>
            </w:sdtEndPr>
            <w:sdtContent>
              <w:r>
                <w:rPr>
                  <w:rFonts w:hint="eastAsia" w:ascii="Times New Roman" w:hAnsi="Times New Roman" w:eastAsia="方正小标宋简体" w:cs="方正小标宋简体"/>
                  <w:b/>
                  <w:bCs/>
                  <w:sz w:val="32"/>
                  <w:szCs w:val="32"/>
                </w:rPr>
                <w:t>第一部分  单位概况</w:t>
              </w:r>
            </w:sdtContent>
          </w:sdt>
          <w:r>
            <w:rPr>
              <w:rFonts w:ascii="Times New Roman" w:hAnsi="Times New Roman"/>
              <w:b/>
              <w:bCs/>
              <w:sz w:val="32"/>
              <w:szCs w:val="32"/>
            </w:rPr>
            <w:tab/>
          </w:r>
          <w:bookmarkStart w:id="92" w:name="_GoBack"/>
          <w:bookmarkEnd w:id="92"/>
          <w:r>
            <w:rPr>
              <w:rFonts w:hint="eastAsia" w:ascii="Times New Roman" w:hAnsi="Times New Roman"/>
              <w:b/>
              <w:bCs/>
              <w:sz w:val="32"/>
              <w:szCs w:val="32"/>
              <w:lang w:val="en-US" w:eastAsia="zh-CN"/>
            </w:rPr>
            <w:t>4</w:t>
          </w:r>
          <w:r>
            <w:rPr>
              <w:rFonts w:ascii="Times New Roman" w:hAnsi="Times New Roman"/>
              <w:b/>
              <w:bCs/>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_Toc10958_WPSOffice_Level2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5cfeb609-ed05-4ec5-9857-371631be8140}"/>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一、单位职责</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_Toc28730_WPSOffice_Level2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4d49ccce-38f1-4698-b23c-2f3cecaa0fdc}"/>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二、机构设置</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fldChar w:fldCharType="end"/>
          </w:r>
        </w:p>
        <w:p>
          <w:pPr>
            <w:pStyle w:val="35"/>
            <w:tabs>
              <w:tab w:val="right" w:leader="dot" w:pos="8306"/>
            </w:tabs>
            <w:rPr>
              <w:rFonts w:ascii="Times New Roman" w:hAnsi="Times New Roman"/>
              <w:sz w:val="32"/>
              <w:szCs w:val="32"/>
            </w:rPr>
          </w:pPr>
          <w:r>
            <w:rPr>
              <w:rFonts w:ascii="Times New Roman" w:hAnsi="Times New Roman"/>
              <w:b/>
              <w:bCs/>
              <w:sz w:val="32"/>
              <w:szCs w:val="32"/>
            </w:rPr>
            <w:fldChar w:fldCharType="begin"/>
          </w:r>
          <w:r>
            <w:rPr>
              <w:rFonts w:ascii="Times New Roman" w:hAnsi="Times New Roman"/>
              <w:sz w:val="32"/>
              <w:szCs w:val="32"/>
            </w:rPr>
            <w:instrText xml:space="preserve"> HYPERLINK \l _Toc10958_WPSOffice_Level1 </w:instrText>
          </w:r>
          <w:r>
            <w:rPr>
              <w:rFonts w:ascii="Times New Roman" w:hAnsi="Times New Roman"/>
              <w:b/>
              <w:bCs/>
              <w:sz w:val="32"/>
              <w:szCs w:val="32"/>
            </w:rPr>
            <w:fldChar w:fldCharType="separate"/>
          </w:r>
          <w:sdt>
            <w:sdtPr>
              <w:rPr>
                <w:rFonts w:ascii="Times New Roman" w:hAnsi="Times New Roman" w:eastAsia="宋体" w:cs="Times New Roman"/>
                <w:b/>
                <w:bCs/>
                <w:kern w:val="2"/>
                <w:sz w:val="32"/>
                <w:szCs w:val="32"/>
                <w:lang w:val="en-US" w:eastAsia="zh-CN" w:bidi="ar-SA"/>
              </w:rPr>
              <w:id w:val="147481915"/>
              <w:placeholder>
                <w:docPart w:val="{6b13bc7b-8cf1-4837-a8f1-0e3e7696ee5a}"/>
              </w:placeholder>
              <w15:color w:val="509DF3"/>
            </w:sdtPr>
            <w:sdtEndPr>
              <w:rPr>
                <w:rFonts w:ascii="Times New Roman" w:hAnsi="Times New Roman" w:eastAsia="宋体" w:cs="Times New Roman"/>
                <w:b/>
                <w:bCs/>
                <w:kern w:val="2"/>
                <w:sz w:val="32"/>
                <w:szCs w:val="32"/>
                <w:lang w:val="en-US" w:eastAsia="zh-CN" w:bidi="ar-SA"/>
              </w:rPr>
            </w:sdtEndPr>
            <w:sdtContent>
              <w:r>
                <w:rPr>
                  <w:rFonts w:hint="eastAsia" w:ascii="Times New Roman" w:hAnsi="Times New Roman" w:eastAsia="方正小标宋简体" w:cs="方正小标宋简体"/>
                  <w:b/>
                  <w:bCs/>
                  <w:sz w:val="32"/>
                  <w:szCs w:val="32"/>
                </w:rPr>
                <w:t>第二部分  2025年度单位决算情况说明</w:t>
              </w:r>
            </w:sdtContent>
          </w:sdt>
          <w:r>
            <w:rPr>
              <w:rFonts w:ascii="Times New Roman" w:hAnsi="Times New Roman"/>
              <w:b/>
              <w:bCs/>
              <w:sz w:val="32"/>
              <w:szCs w:val="32"/>
            </w:rPr>
            <w:tab/>
          </w:r>
          <w:r>
            <w:rPr>
              <w:rFonts w:hint="eastAsia" w:ascii="Times New Roman" w:hAnsi="Times New Roman"/>
              <w:b/>
              <w:bCs/>
              <w:sz w:val="32"/>
              <w:szCs w:val="32"/>
              <w:lang w:val="en-US" w:eastAsia="zh-CN"/>
            </w:rPr>
            <w:t>5</w:t>
          </w:r>
          <w:r>
            <w:rPr>
              <w:rFonts w:ascii="Times New Roman" w:hAnsi="Times New Roman"/>
              <w:b/>
              <w:bCs/>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_Toc31180_WPSOffice_Level2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16fe97f3-a131-4152-be97-fa67122c70bb}"/>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一、收入支出决算总体情况说明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_Toc17477_WPSOffice_Level2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8ec6cb90-2bf0-4177-b753-d69f1722af45}"/>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二、收入决算情况说明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_Toc4411_WPSOffice_Level2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41aea8a5-2815-48c7-935e-a986fdf002b1}"/>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三、支出决算情况说明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_Toc16232_WPSOffice_Level2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d0391beb-8a81-4f73-ac5b-361ff72dfe89}"/>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四、财政拨款收入支出决算总体情况说明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_Toc26406_WPSOffice_Level2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7bc3dc61-cb02-44ac-ae9e-f3aebe4ddb00}"/>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五、一般公共预算财政拨款支出决算情况说明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fldChar w:fldCharType="end"/>
          </w:r>
        </w:p>
        <w:p>
          <w:pPr>
            <w:pStyle w:val="36"/>
            <w:tabs>
              <w:tab w:val="right" w:leader="dot" w:pos="8306"/>
            </w:tabs>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_Toc17607_WPSOffice_Level2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50c0a7cc-6720-490d-9937-ae9c296fccdc}"/>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六、一般公共预算财政拨款基本支出决算情况说明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9</w:t>
          </w:r>
          <w:r>
            <w:rPr>
              <w:rFonts w:hint="eastAsia" w:ascii="Times New Roman" w:hAnsi="Times New Roman" w:eastAsia="仿宋_GB2312" w:cs="仿宋_GB2312"/>
              <w:sz w:val="32"/>
              <w:szCs w:val="32"/>
            </w:rPr>
            <w:fldChar w:fldCharType="end"/>
          </w:r>
        </w:p>
        <w:p>
          <w:pPr>
            <w:pStyle w:val="36"/>
            <w:tabs>
              <w:tab w:val="right" w:leader="dot" w:pos="8306"/>
            </w:tabs>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_Toc10823_WPSOffice_Level2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9622d1cf-25e5-4d72-bfe6-f9391dc191bd}"/>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七、财政拨款“三公”经费支出决算情况说明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sz w:val="32"/>
              <w:szCs w:val="32"/>
              <w:lang w:val="en-US" w:eastAsia="zh-CN"/>
            </w:rPr>
            <w:t>0</w:t>
          </w:r>
        </w:p>
        <w:p>
          <w:pPr>
            <w:pStyle w:val="36"/>
            <w:tabs>
              <w:tab w:val="right" w:leader="dot" w:pos="8306"/>
            </w:tabs>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fldChar w:fldCharType="begin"/>
          </w:r>
          <w:r>
            <w:rPr>
              <w:rFonts w:hint="eastAsia" w:ascii="Times New Roman" w:hAnsi="Times New Roman" w:eastAsia="仿宋_GB2312" w:cs="仿宋_GB2312"/>
              <w:sz w:val="32"/>
              <w:szCs w:val="32"/>
            </w:rPr>
            <w:instrText xml:space="preserve"> HYPERLINK \l _Toc18389_WPSOffice_Level2 </w:instrText>
          </w:r>
          <w:r>
            <w:rPr>
              <w:rFonts w:hint="eastAsia" w:ascii="Times New Roman" w:hAnsi="Times New Roman" w:eastAsia="仿宋_GB2312" w:cs="仿宋_GB2312"/>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ace4e538-1c3a-41b6-bf49-0b4c0eb470d0}"/>
              </w:placeholder>
              <w15:color w:val="509DF3"/>
            </w:sdtPr>
            <w:sdtEndPr>
              <w:rPr>
                <w:rFonts w:hint="eastAsia" w:ascii="Times New Roman" w:hAnsi="Times New Roman" w:eastAsia="仿宋_GB2312" w:cs="仿宋_GB2312"/>
                <w:kern w:val="2"/>
                <w:sz w:val="32"/>
                <w:szCs w:val="32"/>
                <w:lang w:val="en-US" w:eastAsia="zh-CN" w:bidi="ar-SA"/>
              </w:rPr>
            </w:sdtEndPr>
            <w:sdtContent>
              <w:r>
                <w:rPr>
                  <w:rFonts w:hint="eastAsia" w:ascii="Times New Roman" w:hAnsi="Times New Roman" w:eastAsia="仿宋_GB2312" w:cs="仿宋_GB2312"/>
                  <w:sz w:val="32"/>
                  <w:szCs w:val="32"/>
                </w:rPr>
                <w:t>八、政府性基金预算支出决算情况说明</w:t>
              </w:r>
            </w:sdtContent>
          </w:sdt>
          <w:r>
            <w:rPr>
              <w:rFonts w:hint="eastAsia" w:ascii="Times New Roman" w:hAnsi="Times New Roman" w:eastAsia="仿宋_GB2312" w:cs="仿宋_GB2312"/>
              <w:sz w:val="32"/>
              <w:szCs w:val="32"/>
            </w:rPr>
            <w:tab/>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fldChar w:fldCharType="end"/>
          </w:r>
          <w:r>
            <w:rPr>
              <w:rFonts w:hint="eastAsia" w:ascii="Times New Roman" w:hAnsi="Times New Roman" w:eastAsia="仿宋_GB2312" w:cs="仿宋_GB2312"/>
              <w:sz w:val="32"/>
              <w:szCs w:val="32"/>
              <w:lang w:val="en-US" w:eastAsia="zh-CN"/>
            </w:rPr>
            <w:t>2</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_Toc26991_WPSOffice_Level2 </w:instrText>
          </w:r>
          <w:r>
            <w:rPr>
              <w:rFonts w:ascii="Times New Roman" w:hAnsi="Times New Roman"/>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68182017-1dbb-443c-805c-f341f07e839f}"/>
              </w:placeholder>
              <w15:color w:val="509DF3"/>
            </w:sdtPr>
            <w:sdtEndPr>
              <w:rPr>
                <w:rFonts w:hint="eastAsia"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九、国有资本经营预算支出决算情况说明</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2</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_Toc10369_WPSOffice_Level2 </w:instrText>
          </w:r>
          <w:r>
            <w:rPr>
              <w:rFonts w:ascii="Times New Roman" w:hAnsi="Times New Roman"/>
              <w:sz w:val="32"/>
              <w:szCs w:val="32"/>
            </w:rPr>
            <w:fldChar w:fldCharType="separate"/>
          </w:r>
          <w:sdt>
            <w:sdtPr>
              <w:rPr>
                <w:rFonts w:hint="eastAsia" w:ascii="Times New Roman" w:hAnsi="Times New Roman" w:eastAsia="仿宋_GB2312" w:cs="仿宋_GB2312"/>
                <w:kern w:val="2"/>
                <w:sz w:val="32"/>
                <w:szCs w:val="32"/>
                <w:lang w:val="en-US" w:eastAsia="zh-CN" w:bidi="ar-SA"/>
              </w:rPr>
              <w:id w:val="147481915"/>
              <w:placeholder>
                <w:docPart w:val="{1e0bddb1-c631-4491-9a71-92d42dbedad7}"/>
              </w:placeholder>
              <w15:color w:val="509DF3"/>
            </w:sdtPr>
            <w:sdtEndPr>
              <w:rPr>
                <w:rFonts w:hint="eastAsia"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十、其他重要事项的情况说明</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2</w:t>
          </w:r>
        </w:p>
        <w:p>
          <w:pPr>
            <w:pStyle w:val="35"/>
            <w:tabs>
              <w:tab w:val="right" w:leader="dot" w:pos="8306"/>
            </w:tabs>
            <w:rPr>
              <w:rFonts w:hint="eastAsia" w:ascii="Times New Roman" w:hAnsi="Times New Roman" w:eastAsia="宋体"/>
              <w:sz w:val="32"/>
              <w:szCs w:val="32"/>
              <w:lang w:val="en-US" w:eastAsia="zh-CN"/>
            </w:rPr>
          </w:pPr>
          <w:r>
            <w:rPr>
              <w:rFonts w:ascii="Times New Roman" w:hAnsi="Times New Roman"/>
              <w:b/>
              <w:bCs/>
              <w:sz w:val="32"/>
              <w:szCs w:val="32"/>
            </w:rPr>
            <w:fldChar w:fldCharType="begin"/>
          </w:r>
          <w:r>
            <w:rPr>
              <w:rFonts w:ascii="Times New Roman" w:hAnsi="Times New Roman"/>
              <w:sz w:val="32"/>
              <w:szCs w:val="32"/>
            </w:rPr>
            <w:instrText xml:space="preserve"> HYPERLINK \l _Toc28730_WPSOffice_Level1 </w:instrText>
          </w:r>
          <w:r>
            <w:rPr>
              <w:rFonts w:ascii="Times New Roman" w:hAnsi="Times New Roman"/>
              <w:b/>
              <w:bCs/>
              <w:sz w:val="32"/>
              <w:szCs w:val="32"/>
            </w:rPr>
            <w:fldChar w:fldCharType="separate"/>
          </w:r>
          <w:sdt>
            <w:sdtPr>
              <w:rPr>
                <w:rFonts w:ascii="Times New Roman" w:hAnsi="Times New Roman" w:eastAsia="宋体" w:cs="Times New Roman"/>
                <w:b/>
                <w:bCs/>
                <w:kern w:val="2"/>
                <w:sz w:val="32"/>
                <w:szCs w:val="32"/>
                <w:lang w:val="en-US" w:eastAsia="zh-CN" w:bidi="ar-SA"/>
              </w:rPr>
              <w:id w:val="147481915"/>
              <w:placeholder>
                <w:docPart w:val="{9794a5e6-3e4e-461f-a2e4-4330a8a8c563}"/>
              </w:placeholder>
              <w15:color w:val="509DF3"/>
            </w:sdtPr>
            <w:sdtEndPr>
              <w:rPr>
                <w:rFonts w:ascii="Times New Roman" w:hAnsi="Times New Roman" w:eastAsia="宋体" w:cs="Times New Roman"/>
                <w:b/>
                <w:bCs/>
                <w:kern w:val="2"/>
                <w:sz w:val="32"/>
                <w:szCs w:val="32"/>
                <w:lang w:val="en-US" w:eastAsia="zh-CN" w:bidi="ar-SA"/>
              </w:rPr>
            </w:sdtEndPr>
            <w:sdtContent>
              <w:r>
                <w:rPr>
                  <w:rFonts w:hint="eastAsia" w:ascii="Times New Roman" w:hAnsi="Times New Roman" w:eastAsia="黑体" w:cs="Times New Roman"/>
                  <w:b/>
                  <w:bCs/>
                  <w:sz w:val="32"/>
                  <w:szCs w:val="32"/>
                </w:rPr>
                <w:t>第三部分  名词解释</w:t>
              </w:r>
            </w:sdtContent>
          </w:sdt>
          <w:r>
            <w:rPr>
              <w:rFonts w:ascii="Times New Roman" w:hAnsi="Times New Roman"/>
              <w:b/>
              <w:bCs/>
              <w:sz w:val="32"/>
              <w:szCs w:val="32"/>
            </w:rPr>
            <w:tab/>
          </w:r>
          <w:r>
            <w:rPr>
              <w:rFonts w:hint="eastAsia" w:ascii="Times New Roman" w:hAnsi="Times New Roman"/>
              <w:b/>
              <w:bCs/>
              <w:sz w:val="32"/>
              <w:szCs w:val="32"/>
              <w:lang w:val="en-US" w:eastAsia="zh-CN"/>
            </w:rPr>
            <w:t>1</w:t>
          </w:r>
          <w:r>
            <w:rPr>
              <w:rFonts w:ascii="Times New Roman" w:hAnsi="Times New Roman"/>
              <w:b/>
              <w:bCs/>
              <w:sz w:val="32"/>
              <w:szCs w:val="32"/>
            </w:rPr>
            <w:fldChar w:fldCharType="end"/>
          </w:r>
          <w:r>
            <w:rPr>
              <w:rFonts w:hint="eastAsia" w:ascii="Times New Roman" w:hAnsi="Times New Roman"/>
              <w:b/>
              <w:bCs/>
              <w:sz w:val="32"/>
              <w:szCs w:val="32"/>
              <w:lang w:val="en-US" w:eastAsia="zh-CN"/>
            </w:rPr>
            <w:t>4</w:t>
          </w:r>
        </w:p>
        <w:p>
          <w:pPr>
            <w:pStyle w:val="35"/>
            <w:tabs>
              <w:tab w:val="right" w:leader="dot" w:pos="8306"/>
            </w:tabs>
            <w:rPr>
              <w:rFonts w:hint="eastAsia" w:ascii="Times New Roman" w:hAnsi="Times New Roman" w:eastAsia="宋体"/>
              <w:sz w:val="32"/>
              <w:szCs w:val="32"/>
              <w:lang w:val="en-US" w:eastAsia="zh-CN"/>
            </w:rPr>
          </w:pPr>
          <w:r>
            <w:rPr>
              <w:rFonts w:ascii="Times New Roman" w:hAnsi="Times New Roman"/>
              <w:b/>
              <w:bCs/>
              <w:sz w:val="32"/>
              <w:szCs w:val="32"/>
            </w:rPr>
            <w:fldChar w:fldCharType="begin"/>
          </w:r>
          <w:r>
            <w:rPr>
              <w:rFonts w:ascii="Times New Roman" w:hAnsi="Times New Roman"/>
              <w:sz w:val="32"/>
              <w:szCs w:val="32"/>
            </w:rPr>
            <w:instrText xml:space="preserve"> HYPERLINK \l _Toc31180_WPSOffice_Level1 </w:instrText>
          </w:r>
          <w:r>
            <w:rPr>
              <w:rFonts w:ascii="Times New Roman" w:hAnsi="Times New Roman"/>
              <w:b/>
              <w:bCs/>
              <w:sz w:val="32"/>
              <w:szCs w:val="32"/>
            </w:rPr>
            <w:fldChar w:fldCharType="separate"/>
          </w:r>
          <w:sdt>
            <w:sdtPr>
              <w:rPr>
                <w:rFonts w:ascii="Times New Roman" w:hAnsi="Times New Roman" w:eastAsia="宋体" w:cs="Times New Roman"/>
                <w:b/>
                <w:bCs/>
                <w:kern w:val="2"/>
                <w:sz w:val="32"/>
                <w:szCs w:val="32"/>
                <w:lang w:val="en-US" w:eastAsia="zh-CN" w:bidi="ar-SA"/>
              </w:rPr>
              <w:id w:val="147481915"/>
              <w:placeholder>
                <w:docPart w:val="{dc80d704-66c8-4533-bbf8-910710caf9d7}"/>
              </w:placeholder>
              <w15:color w:val="509DF3"/>
            </w:sdtPr>
            <w:sdtEndPr>
              <w:rPr>
                <w:rFonts w:ascii="Times New Roman" w:hAnsi="Times New Roman" w:eastAsia="宋体" w:cs="Times New Roman"/>
                <w:b/>
                <w:bCs/>
                <w:kern w:val="2"/>
                <w:sz w:val="32"/>
                <w:szCs w:val="32"/>
                <w:lang w:val="en-US" w:eastAsia="zh-CN" w:bidi="ar-SA"/>
              </w:rPr>
            </w:sdtEndPr>
            <w:sdtContent>
              <w:r>
                <w:rPr>
                  <w:rFonts w:hint="eastAsia" w:ascii="Times New Roman" w:hAnsi="Times New Roman" w:eastAsia="黑体" w:cs="Times New Roman"/>
                  <w:b/>
                  <w:bCs/>
                  <w:sz w:val="32"/>
                  <w:szCs w:val="32"/>
                </w:rPr>
                <w:t>第四部分  附件</w:t>
              </w:r>
            </w:sdtContent>
          </w:sdt>
          <w:r>
            <w:rPr>
              <w:rFonts w:ascii="Times New Roman" w:hAnsi="Times New Roman"/>
              <w:b/>
              <w:bCs/>
              <w:sz w:val="32"/>
              <w:szCs w:val="32"/>
            </w:rPr>
            <w:tab/>
          </w:r>
          <w:r>
            <w:rPr>
              <w:rFonts w:hint="eastAsia" w:ascii="Times New Roman" w:hAnsi="Times New Roman"/>
              <w:b/>
              <w:bCs/>
              <w:sz w:val="32"/>
              <w:szCs w:val="32"/>
              <w:lang w:val="en-US" w:eastAsia="zh-CN"/>
            </w:rPr>
            <w:t>1</w:t>
          </w:r>
          <w:r>
            <w:rPr>
              <w:rFonts w:ascii="Times New Roman" w:hAnsi="Times New Roman"/>
              <w:b/>
              <w:bCs/>
              <w:sz w:val="32"/>
              <w:szCs w:val="32"/>
            </w:rPr>
            <w:fldChar w:fldCharType="end"/>
          </w:r>
          <w:r>
            <w:rPr>
              <w:rFonts w:hint="eastAsia" w:ascii="Times New Roman" w:hAnsi="Times New Roman"/>
              <w:b/>
              <w:bCs/>
              <w:sz w:val="32"/>
              <w:szCs w:val="32"/>
              <w:lang w:val="en-US" w:eastAsia="zh-CN"/>
            </w:rPr>
            <w:t>7</w:t>
          </w:r>
        </w:p>
        <w:p>
          <w:pPr>
            <w:pStyle w:val="35"/>
            <w:tabs>
              <w:tab w:val="right" w:leader="dot" w:pos="8306"/>
            </w:tabs>
            <w:rPr>
              <w:rFonts w:hint="eastAsia" w:ascii="Times New Roman" w:hAnsi="Times New Roman" w:eastAsia="宋体"/>
              <w:sz w:val="32"/>
              <w:szCs w:val="32"/>
              <w:lang w:val="en-US" w:eastAsia="zh-CN"/>
            </w:rPr>
          </w:pPr>
          <w:r>
            <w:rPr>
              <w:rFonts w:ascii="Times New Roman" w:hAnsi="Times New Roman"/>
              <w:b/>
              <w:bCs/>
              <w:sz w:val="32"/>
              <w:szCs w:val="32"/>
            </w:rPr>
            <w:fldChar w:fldCharType="begin"/>
          </w:r>
          <w:r>
            <w:rPr>
              <w:rFonts w:ascii="Times New Roman" w:hAnsi="Times New Roman"/>
              <w:sz w:val="32"/>
              <w:szCs w:val="32"/>
            </w:rPr>
            <w:instrText xml:space="preserve"> HYPERLINK \l _Toc17477_WPSOffice_Level1 </w:instrText>
          </w:r>
          <w:r>
            <w:rPr>
              <w:rFonts w:ascii="Times New Roman" w:hAnsi="Times New Roman"/>
              <w:b/>
              <w:bCs/>
              <w:sz w:val="32"/>
              <w:szCs w:val="32"/>
            </w:rPr>
            <w:fldChar w:fldCharType="separate"/>
          </w:r>
          <w:sdt>
            <w:sdtPr>
              <w:rPr>
                <w:rFonts w:ascii="Times New Roman" w:hAnsi="Times New Roman" w:eastAsia="宋体" w:cs="Times New Roman"/>
                <w:b/>
                <w:bCs/>
                <w:kern w:val="2"/>
                <w:sz w:val="32"/>
                <w:szCs w:val="32"/>
                <w:lang w:val="en-US" w:eastAsia="zh-CN" w:bidi="ar-SA"/>
              </w:rPr>
              <w:id w:val="147481915"/>
              <w:placeholder>
                <w:docPart w:val="{0896043e-16ed-4cce-be32-a578f02eb55d}"/>
              </w:placeholder>
              <w15:color w:val="509DF3"/>
            </w:sdtPr>
            <w:sdtEndPr>
              <w:rPr>
                <w:rFonts w:ascii="Times New Roman" w:hAnsi="Times New Roman" w:eastAsia="宋体" w:cs="Times New Roman"/>
                <w:b/>
                <w:bCs/>
                <w:kern w:val="2"/>
                <w:sz w:val="32"/>
                <w:szCs w:val="32"/>
                <w:lang w:val="en-US" w:eastAsia="zh-CN" w:bidi="ar-SA"/>
              </w:rPr>
            </w:sdtEndPr>
            <w:sdtContent>
              <w:r>
                <w:rPr>
                  <w:rFonts w:hint="eastAsia" w:ascii="Times New Roman" w:hAnsi="Times New Roman" w:eastAsia="黑体" w:cs="Times New Roman"/>
                  <w:b/>
                  <w:bCs/>
                  <w:sz w:val="32"/>
                  <w:szCs w:val="32"/>
                </w:rPr>
                <w:t xml:space="preserve">第五部分 </w:t>
              </w:r>
              <w:r>
                <w:rPr>
                  <w:rFonts w:hint="eastAsia" w:ascii="Times New Roman" w:hAnsi="Times New Roman" w:eastAsia="黑体" w:cs="Times New Roman"/>
                  <w:b/>
                  <w:bCs/>
                  <w:sz w:val="32"/>
                  <w:szCs w:val="32"/>
                  <w:lang w:val="en-US" w:eastAsia="zh-CN"/>
                </w:rPr>
                <w:t xml:space="preserve"> </w:t>
              </w:r>
              <w:r>
                <w:rPr>
                  <w:rFonts w:hint="eastAsia" w:ascii="Times New Roman" w:hAnsi="Times New Roman" w:eastAsia="黑体" w:cs="Times New Roman"/>
                  <w:b/>
                  <w:bCs/>
                  <w:sz w:val="32"/>
                  <w:szCs w:val="32"/>
                </w:rPr>
                <w:t>附表</w:t>
              </w:r>
            </w:sdtContent>
          </w:sdt>
          <w:r>
            <w:rPr>
              <w:rFonts w:ascii="Times New Roman" w:hAnsi="Times New Roman"/>
              <w:b/>
              <w:bCs/>
              <w:sz w:val="32"/>
              <w:szCs w:val="32"/>
            </w:rPr>
            <w:tab/>
          </w:r>
          <w:r>
            <w:rPr>
              <w:rFonts w:hint="eastAsia" w:ascii="Times New Roman" w:hAnsi="Times New Roman"/>
              <w:b/>
              <w:bCs/>
              <w:sz w:val="32"/>
              <w:szCs w:val="32"/>
              <w:lang w:val="en-US" w:eastAsia="zh-CN"/>
            </w:rPr>
            <w:t>1</w:t>
          </w:r>
          <w:r>
            <w:rPr>
              <w:rFonts w:ascii="Times New Roman" w:hAnsi="Times New Roman"/>
              <w:b/>
              <w:bCs/>
              <w:sz w:val="32"/>
              <w:szCs w:val="32"/>
            </w:rPr>
            <w:fldChar w:fldCharType="end"/>
          </w:r>
          <w:r>
            <w:rPr>
              <w:rFonts w:hint="eastAsia" w:ascii="Times New Roman" w:hAnsi="Times New Roman"/>
              <w:b/>
              <w:bCs/>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_Toc1945_WPSOffice_Level2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b03bb199-8a5e-4852-9f6a-2a78cfe65d42}"/>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一、收入支出决算总表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_Toc15770_WPSOffice_Level2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85af4916-a7dc-42e5-a835-aded0b5db646}"/>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二、收入决算表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_Toc26918_WPSOffice_Level2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fa7cde0e-bacd-4171-83ab-27a84792d728}"/>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三、支出决算表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_Toc26502_WPSOffice_Level2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df832b95-38ea-4b20-8ee4-0dcc30288962}"/>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四、财政拨款收入支出决算总表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_Toc27723_WPSOffice_Level2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e4fe7e5b-fdec-43e5-8926-d4b339ba666a}"/>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五、财政拨款支出决算明细表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_Toc5504_WPSOffice_Level2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2fc85b95-a85b-41a2-bd5d-e04d3197010a}"/>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六、一般公共预算财政拨款支出决算表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_Toc3525_WPSOffice_Level2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6caba638-a5eb-4448-a8e9-daef17e777df}"/>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七、一般公共预算财政拨款支出决算明细表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_Toc14840_WPSOffice_Level2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fdc22216-f666-45d5-bcba-3f0d4728b33f}"/>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八、一般公共预算财政拨款基本支出决算表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_Toc25673_WPSOffice_Level2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9af12987-376b-491f-af6d-26783a1fccff}"/>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九、一般公共预算财政拨款项目支出决算表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_Toc20173_WPSOffice_Level2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5087ff7c-d523-4721-b6c6-aa0299df85f4}"/>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十、政府性基金预算财政拨款收入支出决算表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_Toc12359_WPSOffice_Level2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6183026e-6d26-466b-a026-43c121366ffc}"/>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十一、国有资本经营预算财政拨款收入支出决算表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hint="eastAsia" w:ascii="Times New Roman" w:hAnsi="Times New Roman" w:eastAsia="宋体"/>
              <w:sz w:val="32"/>
              <w:szCs w:val="32"/>
              <w:lang w:val="en-US" w:eastAsia="zh-CN"/>
            </w:rPr>
          </w:pPr>
          <w:r>
            <w:rPr>
              <w:rFonts w:ascii="Times New Roman" w:hAnsi="Times New Roman"/>
              <w:sz w:val="32"/>
              <w:szCs w:val="32"/>
            </w:rPr>
            <w:fldChar w:fldCharType="begin"/>
          </w:r>
          <w:r>
            <w:rPr>
              <w:rFonts w:ascii="Times New Roman" w:hAnsi="Times New Roman"/>
              <w:sz w:val="32"/>
              <w:szCs w:val="32"/>
            </w:rPr>
            <w:instrText xml:space="preserve"> HYPERLINK \l _Toc20600_WPSOffice_Level2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e947d791-9e89-483c-a2d9-c3fcf40ba78f}"/>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十二、国有资本经营预算财政拨款支出决算表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r>
            <w:rPr>
              <w:rFonts w:hint="eastAsia" w:ascii="Times New Roman" w:hAnsi="Times New Roman"/>
              <w:sz w:val="32"/>
              <w:szCs w:val="32"/>
              <w:lang w:val="en-US" w:eastAsia="zh-CN"/>
            </w:rPr>
            <w:t>8</w:t>
          </w:r>
        </w:p>
        <w:p>
          <w:pPr>
            <w:pStyle w:val="36"/>
            <w:tabs>
              <w:tab w:val="right" w:leader="dot" w:pos="8306"/>
            </w:tabs>
            <w:rPr>
              <w:rFonts w:ascii="Times New Roman" w:hAnsi="Times New Roman"/>
              <w:sz w:val="32"/>
              <w:szCs w:val="32"/>
            </w:rPr>
          </w:pPr>
          <w:r>
            <w:rPr>
              <w:rFonts w:ascii="Times New Roman" w:hAnsi="Times New Roman"/>
              <w:sz w:val="32"/>
              <w:szCs w:val="32"/>
            </w:rPr>
            <w:fldChar w:fldCharType="begin"/>
          </w:r>
          <w:r>
            <w:rPr>
              <w:rFonts w:ascii="Times New Roman" w:hAnsi="Times New Roman"/>
              <w:sz w:val="32"/>
              <w:szCs w:val="32"/>
            </w:rPr>
            <w:instrText xml:space="preserve"> HYPERLINK \l _Toc27386_WPSOffice_Level2 </w:instrText>
          </w:r>
          <w:r>
            <w:rPr>
              <w:rFonts w:ascii="Times New Roman" w:hAnsi="Times New Roman"/>
              <w:sz w:val="32"/>
              <w:szCs w:val="32"/>
            </w:rPr>
            <w:fldChar w:fldCharType="separate"/>
          </w:r>
          <w:sdt>
            <w:sdtPr>
              <w:rPr>
                <w:rFonts w:ascii="Times New Roman" w:hAnsi="Times New Roman" w:eastAsia="宋体" w:cs="Times New Roman"/>
                <w:kern w:val="2"/>
                <w:sz w:val="32"/>
                <w:szCs w:val="32"/>
                <w:lang w:val="en-US" w:eastAsia="zh-CN" w:bidi="ar-SA"/>
              </w:rPr>
              <w:id w:val="147481915"/>
              <w:placeholder>
                <w:docPart w:val="{edda69ab-d467-4e44-b544-feb69a2d4e41}"/>
              </w:placeholder>
              <w15:color w:val="509DF3"/>
            </w:sdtPr>
            <w:sdtEndPr>
              <w:rPr>
                <w:rFonts w:ascii="Times New Roman" w:hAnsi="Times New Roman" w:eastAsia="宋体" w:cs="Times New Roman"/>
                <w:kern w:val="2"/>
                <w:sz w:val="32"/>
                <w:szCs w:val="32"/>
                <w:lang w:val="en-US" w:eastAsia="zh-CN" w:bidi="ar-SA"/>
              </w:rPr>
            </w:sdtEndPr>
            <w:sdtContent>
              <w:r>
                <w:rPr>
                  <w:rFonts w:hint="eastAsia" w:ascii="Times New Roman" w:hAnsi="Times New Roman" w:eastAsia="仿宋_GB2312" w:cs="仿宋_GB2312"/>
                  <w:sz w:val="32"/>
                  <w:szCs w:val="32"/>
                </w:rPr>
                <w:t>十三、财政拨款“三公”经费支出决算表</w:t>
              </w:r>
            </w:sdtContent>
          </w:sdt>
          <w:r>
            <w:rPr>
              <w:rFonts w:ascii="Times New Roman" w:hAnsi="Times New Roman"/>
              <w:sz w:val="32"/>
              <w:szCs w:val="32"/>
            </w:rPr>
            <w:tab/>
          </w:r>
          <w:r>
            <w:rPr>
              <w:rFonts w:hint="eastAsia" w:ascii="Times New Roman" w:hAnsi="Times New Roman"/>
              <w:sz w:val="32"/>
              <w:szCs w:val="32"/>
              <w:lang w:val="en-US" w:eastAsia="zh-CN"/>
            </w:rPr>
            <w:t>1</w:t>
          </w:r>
          <w:r>
            <w:rPr>
              <w:rFonts w:ascii="Times New Roman" w:hAnsi="Times New Roman"/>
              <w:sz w:val="32"/>
              <w:szCs w:val="32"/>
            </w:rPr>
            <w:fldChar w:fldCharType="end"/>
          </w:r>
          <w:bookmarkEnd w:id="6"/>
          <w:r>
            <w:rPr>
              <w:rFonts w:hint="eastAsia" w:ascii="Times New Roman" w:hAnsi="Times New Roman"/>
              <w:sz w:val="32"/>
              <w:szCs w:val="32"/>
              <w:lang w:val="en-US" w:eastAsia="zh-CN"/>
            </w:rPr>
            <w:t>8</w:t>
          </w:r>
        </w:p>
      </w:sdtContent>
    </w:sdt>
    <w:p>
      <w:pPr>
        <w:rPr>
          <w:rFonts w:hint="eastAsia" w:ascii="Times New Roman" w:hAnsi="Times New Roman"/>
          <w:sz w:val="32"/>
          <w:szCs w:val="32"/>
        </w:rPr>
      </w:pP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7" w:name="_Toc15396599"/>
      <w:bookmarkStart w:id="8" w:name="_Toc15377196"/>
      <w:r>
        <w:rPr>
          <w:rFonts w:hint="eastAsia" w:ascii="Times New Roman" w:hAnsi="Times New Roman" w:eastAsia="仿宋_GB2312" w:cs="仿宋_GB2312"/>
          <w:b/>
          <w:color w:val="auto"/>
          <w:sz w:val="32"/>
          <w:szCs w:val="32"/>
          <w:highlight w:val="none"/>
        </w:rPr>
        <w:br w:type="page"/>
      </w:r>
    </w:p>
    <w:p>
      <w:pPr>
        <w:pStyle w:val="3"/>
        <w:jc w:val="center"/>
        <w:rPr>
          <w:rStyle w:val="28"/>
          <w:rFonts w:hint="eastAsia" w:ascii="Times New Roman" w:hAnsi="Times New Roman" w:eastAsia="方正小标宋简体" w:cs="方正小标宋简体"/>
          <w:b/>
          <w:bCs w:val="0"/>
          <w:color w:val="auto"/>
          <w:highlight w:val="none"/>
        </w:rPr>
      </w:pPr>
      <w:bookmarkStart w:id="9" w:name="_Toc6916_WPSOffice_Level1"/>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lang w:eastAsia="zh-CN"/>
        </w:rPr>
        <w:t>单位</w:t>
      </w:r>
      <w:r>
        <w:rPr>
          <w:rStyle w:val="28"/>
          <w:rFonts w:hint="eastAsia" w:ascii="Times New Roman" w:hAnsi="Times New Roman" w:eastAsia="方正小标宋简体" w:cs="方正小标宋简体"/>
          <w:b w:val="0"/>
          <w:bCs w:val="0"/>
          <w:color w:val="auto"/>
          <w:highlight w:val="none"/>
        </w:rPr>
        <w:t>概况</w:t>
      </w:r>
      <w:bookmarkEnd w:id="7"/>
      <w:bookmarkEnd w:id="8"/>
      <w:bookmarkEnd w:id="9"/>
    </w:p>
    <w:p>
      <w:pPr>
        <w:widowControl/>
        <w:jc w:val="left"/>
        <w:rPr>
          <w:rFonts w:ascii="Times New Roman" w:hAnsi="Times New Roman" w:eastAsia="黑体"/>
          <w:color w:val="auto"/>
          <w:sz w:val="32"/>
          <w:szCs w:val="32"/>
          <w:highlight w:val="none"/>
        </w:rPr>
      </w:pPr>
    </w:p>
    <w:p>
      <w:pPr>
        <w:pStyle w:val="4"/>
        <w:numPr>
          <w:ilvl w:val="0"/>
          <w:numId w:val="1"/>
        </w:numPr>
        <w:rPr>
          <w:rFonts w:hint="eastAsia" w:ascii="Times New Roman" w:hAnsi="Times New Roman" w:eastAsia="黑体"/>
          <w:b w:val="0"/>
          <w:color w:val="auto"/>
          <w:highlight w:val="none"/>
          <w:lang w:eastAsia="zh-CN"/>
        </w:rPr>
      </w:pPr>
      <w:bookmarkStart w:id="10" w:name="_Toc10958_WPSOffice_Level2"/>
      <w:r>
        <w:rPr>
          <w:rFonts w:hint="eastAsia" w:ascii="Times New Roman" w:hAnsi="Times New Roman" w:eastAsia="黑体"/>
          <w:b w:val="0"/>
          <w:color w:val="auto"/>
          <w:highlight w:val="none"/>
          <w:lang w:eastAsia="zh-CN"/>
        </w:rPr>
        <w:t>单位职责</w:t>
      </w:r>
      <w:bookmarkEnd w:id="10"/>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lang w:eastAsia="zh-CN"/>
        </w:rPr>
      </w:pPr>
      <w:r>
        <w:rPr>
          <w:rFonts w:hint="eastAsia" w:ascii="Times New Roman" w:hAnsi="Times New Roman" w:eastAsia="仿宋_GB2312" w:cs="Times New Roman"/>
          <w:kern w:val="2"/>
          <w:sz w:val="32"/>
          <w:szCs w:val="32"/>
          <w:lang w:bidi="ar-SA"/>
        </w:rPr>
        <w:t>攀西无公害农产品监测中心是根据攀枝花市编委攀编发[2002]9号文件成立的，是社会公益性非盈利技术服务、财政全额拨款的副县级事业单位，独立法人，财务独立，根据攀编发[2019]86号文增挂攀枝花市蚕种质量检验站和攀枝花市种子质量检验站。主管</w:t>
      </w:r>
      <w:r>
        <w:rPr>
          <w:rFonts w:hint="eastAsia" w:ascii="Times New Roman" w:hAnsi="Times New Roman" w:eastAsia="仿宋_GB2312" w:cs="Times New Roman"/>
          <w:kern w:val="2"/>
          <w:sz w:val="32"/>
          <w:szCs w:val="32"/>
          <w:lang w:eastAsia="zh-CN" w:bidi="ar-SA"/>
        </w:rPr>
        <w:t>单位</w:t>
      </w:r>
      <w:r>
        <w:rPr>
          <w:rFonts w:hint="eastAsia" w:ascii="Times New Roman" w:hAnsi="Times New Roman" w:eastAsia="仿宋_GB2312" w:cs="Times New Roman"/>
          <w:kern w:val="2"/>
          <w:sz w:val="32"/>
          <w:szCs w:val="32"/>
          <w:lang w:bidi="ar-SA"/>
        </w:rPr>
        <w:t>是攀枝花市农业农村局。负责对攀西地区无公害农产品生产过程的土壤、肥料、水源、农药、饲料、兽药、大气等全方位监测以及农产品上市前的质量监测；负责提出解决生产过程中技术难题的意见和建议；参与制定攀西无公害农产品发展战略、中长期规划及年度计划；参与制定无公害农产品项目的审查、申报以及基地建设。承担全市农产品质量安全</w:t>
      </w:r>
      <w:r>
        <w:rPr>
          <w:rFonts w:hint="eastAsia" w:ascii="Times New Roman" w:hAnsi="Times New Roman" w:eastAsia="仿宋_GB2312" w:cs="Times New Roman"/>
          <w:kern w:val="2"/>
          <w:sz w:val="32"/>
          <w:szCs w:val="32"/>
          <w:lang w:eastAsia="zh-CN" w:bidi="ar-SA"/>
        </w:rPr>
        <w:t>。</w:t>
      </w:r>
    </w:p>
    <w:p>
      <w:pPr>
        <w:pStyle w:val="4"/>
        <w:rPr>
          <w:rStyle w:val="29"/>
          <w:rFonts w:ascii="Times New Roman" w:hAnsi="Times New Roman"/>
          <w:b w:val="0"/>
          <w:bCs w:val="0"/>
          <w:color w:val="auto"/>
          <w:highlight w:val="none"/>
        </w:rPr>
      </w:pPr>
      <w:bookmarkStart w:id="11" w:name="_Toc15396601"/>
      <w:bookmarkStart w:id="12" w:name="_Toc15377200"/>
      <w:bookmarkStart w:id="13" w:name="_Toc28730_WPSOffice_Level2"/>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11"/>
      <w:bookmarkEnd w:id="12"/>
      <w:bookmarkEnd w:id="13"/>
    </w:p>
    <w:p>
      <w:pPr>
        <w:ind w:firstLine="800" w:firstLineChars="250"/>
        <w:rPr>
          <w:rFonts w:ascii="Times New Roman" w:hAnsi="Times New Roman" w:eastAsia="仿宋"/>
          <w:color w:val="auto"/>
          <w:kern w:val="0"/>
          <w:sz w:val="32"/>
          <w:szCs w:val="32"/>
          <w:highlight w:val="none"/>
        </w:rPr>
      </w:pPr>
      <w:r>
        <w:rPr>
          <w:rFonts w:hint="eastAsia" w:ascii="Times New Roman" w:hAnsi="Times New Roman" w:eastAsia="仿宋_GB2312" w:cs="Times New Roman"/>
          <w:kern w:val="2"/>
          <w:sz w:val="32"/>
          <w:szCs w:val="32"/>
          <w:lang w:val="en-US" w:eastAsia="zh-CN" w:bidi="ar-SA"/>
        </w:rPr>
        <w:t>攀西无公害农产品监测中心为攀枝花市农业农村局下属二级</w:t>
      </w:r>
      <w:r>
        <w:rPr>
          <w:rFonts w:hint="eastAsia" w:ascii="Times New Roman" w:hAnsi="Times New Roman" w:cs="Times New Roman"/>
          <w:kern w:val="2"/>
          <w:sz w:val="32"/>
          <w:szCs w:val="32"/>
          <w:lang w:val="en-US" w:eastAsia="zh-CN" w:bidi="ar-SA"/>
        </w:rPr>
        <w:t>预算</w:t>
      </w:r>
      <w:r>
        <w:rPr>
          <w:rFonts w:hint="eastAsia" w:ascii="Times New Roman" w:hAnsi="Times New Roman" w:eastAsia="仿宋_GB2312" w:cs="Times New Roman"/>
          <w:kern w:val="2"/>
          <w:sz w:val="32"/>
          <w:szCs w:val="32"/>
          <w:lang w:val="en-US" w:eastAsia="zh-CN" w:bidi="ar-SA"/>
        </w:rPr>
        <w:t>单位，内设综合办公室、农产品检测室及畜产品检测室。</w:t>
      </w: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14" w:name="_Toc15396602"/>
      <w:bookmarkStart w:id="15" w:name="_Toc15377204"/>
      <w:bookmarkStart w:id="16" w:name="_Toc10958_WPSOffice_Level1"/>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lang w:eastAsia="zh-CN"/>
        </w:rPr>
        <w:t>单位</w:t>
      </w:r>
      <w:r>
        <w:rPr>
          <w:rFonts w:hint="eastAsia" w:ascii="Times New Roman" w:hAnsi="Times New Roman" w:eastAsia="方正小标宋简体" w:cs="方正小标宋简体"/>
          <w:b w:val="0"/>
          <w:color w:val="auto"/>
          <w:highlight w:val="none"/>
        </w:rPr>
        <w:t>决算情况说明</w:t>
      </w:r>
      <w:bookmarkEnd w:id="14"/>
      <w:bookmarkEnd w:id="15"/>
      <w:bookmarkEnd w:id="16"/>
    </w:p>
    <w:p>
      <w:pPr>
        <w:rPr>
          <w:rFonts w:ascii="Times New Roman" w:hAnsi="Times New Roman"/>
          <w:color w:val="auto"/>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7" w:name="_Toc15377205"/>
      <w:bookmarkStart w:id="18" w:name="_Toc31180_WPSOffice_Level2"/>
      <w:bookmarkStart w:id="19"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7"/>
      <w:bookmarkEnd w:id="18"/>
      <w:bookmarkEnd w:id="19"/>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2025年度收入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default" w:ascii="Times New Roman" w:hAnsi="Times New Roman" w:eastAsia="仿宋_GB2312" w:cs="Times New Roman"/>
          <w:sz w:val="32"/>
          <w:szCs w:val="32"/>
        </w:rPr>
        <w:t>425.56</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上</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ascii="Times New Roman" w:hAnsi="Times New Roman" w:eastAsia="仿宋_GB2312" w:cs="仿宋_GB2312"/>
          <w:color w:val="auto"/>
          <w:sz w:val="32"/>
          <w:szCs w:val="32"/>
          <w:highlight w:val="none"/>
          <w:lang w:val="en-US" w:eastAsia="zh-CN"/>
        </w:rPr>
        <w:t>39.89</w:t>
      </w:r>
      <w:r>
        <w:rPr>
          <w:rFonts w:hint="eastAsia" w:ascii="Times New Roman" w:hAnsi="Times New Roman" w:eastAsia="仿宋_GB2312" w:cs="仿宋_GB2312"/>
          <w:color w:val="auto"/>
          <w:sz w:val="32"/>
          <w:szCs w:val="32"/>
          <w:highlight w:val="none"/>
        </w:rPr>
        <w:t>万元，增长</w:t>
      </w:r>
      <w:r>
        <w:rPr>
          <w:rFonts w:hint="eastAsia" w:ascii="Times New Roman" w:hAnsi="Times New Roman" w:eastAsia="仿宋_GB2312" w:cs="仿宋_GB2312"/>
          <w:color w:val="auto"/>
          <w:sz w:val="32"/>
          <w:szCs w:val="32"/>
          <w:highlight w:val="none"/>
          <w:lang w:val="en-US" w:eastAsia="zh-CN"/>
        </w:rPr>
        <w:t>10.3</w:t>
      </w:r>
      <w:r>
        <w:rPr>
          <w:rFonts w:hint="eastAsia" w:ascii="Times New Roman" w:hAnsi="Times New Roman" w:eastAsia="仿宋_GB2312" w:cs="仿宋_GB2312"/>
          <w:color w:val="auto"/>
          <w:sz w:val="32"/>
          <w:szCs w:val="32"/>
          <w:highlight w:val="none"/>
        </w:rPr>
        <w:t>%。主要变动原因是</w:t>
      </w:r>
      <w:r>
        <w:rPr>
          <w:rFonts w:hint="eastAsia" w:ascii="Times New Roman" w:hAnsi="Times New Roman" w:eastAsia="仿宋_GB2312" w:cs="仿宋_GB2312"/>
          <w:color w:val="auto"/>
          <w:sz w:val="32"/>
          <w:szCs w:val="32"/>
          <w:highlight w:val="none"/>
          <w:lang w:eastAsia="zh-CN"/>
        </w:rPr>
        <w:t>新进人员，人员经费增加；项目经费增加。</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仿宋_GB2312"/>
          <w:color w:val="auto"/>
          <w:sz w:val="32"/>
          <w:szCs w:val="32"/>
          <w:highlight w:val="none"/>
          <w:lang w:val="en-US" w:eastAsia="zh-CN"/>
        </w:rPr>
      </w:pPr>
      <w:r>
        <w:rPr>
          <w:rFonts w:ascii="Times New Roman" w:hAnsi="Times New Roman"/>
        </w:rPr>
        <w:drawing>
          <wp:inline distT="0" distB="0" distL="114300" distR="114300">
            <wp:extent cx="4572000" cy="2924175"/>
            <wp:effectExtent l="4445" t="4445" r="14605" b="50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ascii="Times New Roman" w:hAnsi="Times New Roman"/>
          <w:lang w:val="en-US" w:eastAsia="zh-CN"/>
        </w:rPr>
        <w:t xml:space="preserve">  </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0" w:name="_Toc15377206"/>
      <w:bookmarkStart w:id="21" w:name="_Toc17477_WPSOffice_Level2"/>
      <w:bookmarkStart w:id="22" w:name="_Toc15396604"/>
      <w:r>
        <w:rPr>
          <w:rFonts w:hint="eastAsia" w:ascii="Times New Roman" w:hAnsi="Times New Roman" w:eastAsia="黑体"/>
          <w:color w:val="auto"/>
          <w:sz w:val="32"/>
          <w:szCs w:val="32"/>
          <w:highlight w:val="none"/>
          <w:lang w:eastAsia="zh-CN"/>
        </w:rPr>
        <w:t>二、收入决算情况说明</w:t>
      </w:r>
      <w:bookmarkEnd w:id="20"/>
      <w:bookmarkEnd w:id="21"/>
      <w:bookmarkEnd w:id="22"/>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2025年度本年收入合计</w:t>
      </w:r>
      <w:r>
        <w:rPr>
          <w:rFonts w:hint="eastAsia" w:ascii="Times New Roman" w:hAnsi="Times New Roman" w:eastAsia="仿宋_GB2312" w:cs="仿宋_GB2312"/>
          <w:sz w:val="32"/>
          <w:szCs w:val="32"/>
        </w:rPr>
        <w:t>425.56</w:t>
      </w:r>
      <w:r>
        <w:rPr>
          <w:rFonts w:hint="eastAsia" w:ascii="Times New Roman" w:hAnsi="Times New Roman" w:eastAsia="仿宋_GB2312" w:cs="仿宋_GB2312"/>
          <w:color w:val="auto"/>
          <w:sz w:val="32"/>
          <w:szCs w:val="32"/>
          <w:highlight w:val="none"/>
          <w:lang w:eastAsia="zh-CN"/>
        </w:rPr>
        <w:t>万元，其中：一般公共预算财政拨款收入</w:t>
      </w:r>
      <w:r>
        <w:rPr>
          <w:rFonts w:hint="eastAsia" w:ascii="Times New Roman" w:hAnsi="Times New Roman" w:eastAsia="仿宋_GB2312" w:cs="仿宋_GB2312"/>
          <w:sz w:val="32"/>
          <w:szCs w:val="32"/>
        </w:rPr>
        <w:t>420.95</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sz w:val="32"/>
          <w:szCs w:val="32"/>
        </w:rPr>
        <w:t>98.9</w:t>
      </w:r>
      <w:r>
        <w:rPr>
          <w:rFonts w:hint="eastAsia" w:ascii="Times New Roman" w:hAnsi="Times New Roman" w:eastAsia="仿宋_GB2312" w:cs="仿宋_GB2312"/>
          <w:color w:val="auto"/>
          <w:sz w:val="32"/>
          <w:szCs w:val="32"/>
          <w:highlight w:val="none"/>
          <w:lang w:eastAsia="zh-CN"/>
        </w:rPr>
        <w:t>%；政府性基金预算财政拨款收入</w:t>
      </w:r>
      <w:r>
        <w:rPr>
          <w:rFonts w:hint="eastAsia" w:ascii="Times New Roman" w:hAnsi="Times New Roman" w:eastAsia="仿宋_GB2312" w:cs="仿宋_GB2312"/>
          <w:sz w:val="32"/>
          <w:szCs w:val="32"/>
        </w:rPr>
        <w:t>4.61</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color w:val="auto"/>
          <w:sz w:val="32"/>
          <w:szCs w:val="32"/>
          <w:highlight w:val="none"/>
          <w:lang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pStyle w:val="2"/>
        <w:jc w:val="center"/>
        <w:rPr>
          <w:rFonts w:hint="eastAsia" w:ascii="Times New Roman" w:hAnsi="Times New Roman" w:eastAsia="仿宋_GB2312" w:cs="仿宋_GB2312"/>
          <w:color w:val="auto"/>
          <w:sz w:val="32"/>
          <w:szCs w:val="32"/>
          <w:highlight w:val="none"/>
          <w:lang w:eastAsia="zh-CN"/>
        </w:rPr>
      </w:pPr>
      <w:r>
        <w:rPr>
          <w:rFonts w:ascii="Times New Roman" w:hAnsi="Times New Roman"/>
        </w:rPr>
        <w:drawing>
          <wp:inline distT="0" distB="0" distL="114300" distR="114300">
            <wp:extent cx="3960495" cy="2454275"/>
            <wp:effectExtent l="4445" t="5080" r="16510" b="17145"/>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3" w:name="_Toc15396605"/>
      <w:bookmarkStart w:id="24" w:name="_Toc4411_WPSOffice_Level2"/>
      <w:bookmarkStart w:id="25"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3"/>
      <w:bookmarkEnd w:id="24"/>
      <w:bookmarkEnd w:id="25"/>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2025年度本年支出合计</w:t>
      </w:r>
      <w:r>
        <w:rPr>
          <w:rFonts w:hint="eastAsia" w:ascii="Times New Roman" w:hAnsi="Times New Roman" w:eastAsia="仿宋_GB2312" w:cs="仿宋_GB2312"/>
          <w:sz w:val="32"/>
          <w:szCs w:val="32"/>
        </w:rPr>
        <w:t>425.56</w:t>
      </w:r>
      <w:r>
        <w:rPr>
          <w:rFonts w:hint="eastAsia" w:ascii="Times New Roman" w:hAnsi="Times New Roman" w:eastAsia="仿宋_GB2312" w:cs="仿宋_GB2312"/>
          <w:color w:val="auto"/>
          <w:sz w:val="32"/>
          <w:szCs w:val="32"/>
          <w:highlight w:val="none"/>
          <w:lang w:eastAsia="zh-CN"/>
        </w:rPr>
        <w:t>万元，其中：基本支出</w:t>
      </w:r>
      <w:r>
        <w:rPr>
          <w:rFonts w:hint="eastAsia" w:ascii="Times New Roman" w:hAnsi="Times New Roman" w:eastAsia="仿宋_GB2312" w:cs="仿宋_GB2312"/>
          <w:sz w:val="32"/>
          <w:szCs w:val="32"/>
        </w:rPr>
        <w:t>319.91</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sz w:val="32"/>
          <w:szCs w:val="32"/>
        </w:rPr>
        <w:t>75.</w:t>
      </w:r>
      <w:r>
        <w:rPr>
          <w:rFonts w:hint="eastAsia" w:ascii="Times New Roman" w:hAnsi="Times New Roman" w:eastAsia="仿宋_GB2312" w:cs="仿宋_GB2312"/>
          <w:sz w:val="32"/>
          <w:szCs w:val="32"/>
          <w:lang w:val="en-US" w:eastAsia="zh-CN"/>
        </w:rPr>
        <w:t>2</w:t>
      </w:r>
      <w:r>
        <w:rPr>
          <w:rFonts w:hint="eastAsia" w:ascii="Times New Roman" w:hAnsi="Times New Roman" w:eastAsia="仿宋_GB2312" w:cs="仿宋_GB2312"/>
          <w:color w:val="auto"/>
          <w:sz w:val="32"/>
          <w:szCs w:val="32"/>
          <w:highlight w:val="none"/>
          <w:lang w:eastAsia="zh-CN"/>
        </w:rPr>
        <w:t>%；项目支出</w:t>
      </w:r>
      <w:r>
        <w:rPr>
          <w:rFonts w:hint="eastAsia" w:ascii="Times New Roman" w:hAnsi="Times New Roman" w:eastAsia="仿宋_GB2312" w:cs="仿宋_GB2312"/>
          <w:sz w:val="32"/>
          <w:szCs w:val="32"/>
        </w:rPr>
        <w:t>105.65</w:t>
      </w:r>
      <w:r>
        <w:rPr>
          <w:rFonts w:hint="eastAsia" w:ascii="Times New Roman" w:hAnsi="Times New Roman" w:eastAsia="仿宋_GB2312" w:cs="仿宋_GB2312"/>
          <w:color w:val="auto"/>
          <w:sz w:val="32"/>
          <w:szCs w:val="32"/>
          <w:highlight w:val="none"/>
          <w:lang w:eastAsia="zh-CN"/>
        </w:rPr>
        <w:t>万元，占</w:t>
      </w:r>
      <w:r>
        <w:rPr>
          <w:rFonts w:hint="eastAsia" w:ascii="Times New Roman" w:hAnsi="Times New Roman" w:eastAsia="仿宋_GB2312" w:cs="仿宋_GB2312"/>
          <w:sz w:val="32"/>
          <w:szCs w:val="32"/>
        </w:rPr>
        <w:t>24.8</w:t>
      </w:r>
      <w:r>
        <w:rPr>
          <w:rFonts w:hint="eastAsia" w:ascii="Times New Roman" w:hAnsi="Times New Roman" w:eastAsia="仿宋_GB2312" w:cs="仿宋_GB2312"/>
          <w:color w:val="auto"/>
          <w:sz w:val="32"/>
          <w:szCs w:val="32"/>
          <w:highlight w:val="none"/>
          <w:lang w:eastAsia="zh-CN"/>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pStyle w:val="2"/>
        <w:jc w:val="center"/>
        <w:rPr>
          <w:rFonts w:hint="eastAsia" w:ascii="Times New Roman" w:hAnsi="Times New Roman" w:eastAsia="仿宋_GB2312" w:cs="仿宋_GB2312"/>
          <w:color w:val="auto"/>
          <w:sz w:val="32"/>
          <w:szCs w:val="32"/>
          <w:highlight w:val="none"/>
          <w:lang w:eastAsia="zh-CN"/>
        </w:rPr>
      </w:pPr>
      <w:r>
        <w:rPr>
          <w:rFonts w:ascii="Times New Roman" w:hAnsi="Times New Roman"/>
        </w:rPr>
        <w:drawing>
          <wp:inline distT="0" distB="0" distL="114300" distR="114300">
            <wp:extent cx="4311650" cy="2430145"/>
            <wp:effectExtent l="4445" t="4445" r="8255" b="22860"/>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29"/>
          <w:rFonts w:ascii="Times New Roman" w:hAnsi="Times New Roman" w:eastAsia="黑体"/>
          <w:b w:val="0"/>
          <w:color w:val="auto"/>
          <w:highlight w:val="none"/>
        </w:rPr>
      </w:pPr>
      <w:bookmarkStart w:id="26" w:name="_Toc15377208"/>
      <w:bookmarkStart w:id="27" w:name="_Toc16232_WPSOffice_Level2"/>
      <w:bookmarkStart w:id="28"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6"/>
      <w:bookmarkEnd w:id="27"/>
      <w:bookmarkEnd w:id="2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2025年度财政拨款收入、支出总计均为</w:t>
      </w:r>
      <w:r>
        <w:rPr>
          <w:rFonts w:hint="eastAsia" w:ascii="Times New Roman" w:hAnsi="Times New Roman" w:eastAsia="仿宋_GB2312" w:cs="仿宋_GB2312"/>
          <w:sz w:val="32"/>
          <w:szCs w:val="32"/>
        </w:rPr>
        <w:t>425.56</w:t>
      </w:r>
      <w:r>
        <w:rPr>
          <w:rFonts w:hint="eastAsia" w:ascii="Times New Roman" w:hAnsi="Times New Roman" w:eastAsia="仿宋_GB2312" w:cs="仿宋_GB2312"/>
          <w:color w:val="auto"/>
          <w:kern w:val="2"/>
          <w:sz w:val="32"/>
          <w:szCs w:val="32"/>
          <w:highlight w:val="none"/>
          <w:lang w:val="en-US" w:eastAsia="zh-CN" w:bidi="ar-SA"/>
        </w:rPr>
        <w:t>万元。与上年度相比，财政拨款收入、支出总计各增加38.89万元，增长10.3%。主要变动原因是</w:t>
      </w:r>
      <w:r>
        <w:rPr>
          <w:rFonts w:hint="eastAsia" w:ascii="Times New Roman" w:hAnsi="Times New Roman" w:eastAsia="仿宋_GB2312" w:cs="仿宋_GB2312"/>
          <w:color w:val="auto"/>
          <w:sz w:val="32"/>
          <w:szCs w:val="32"/>
          <w:highlight w:val="none"/>
          <w:lang w:eastAsia="zh-CN"/>
        </w:rPr>
        <w:t>新进人员，人员经费增加；项目经费增加。</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ascii="Times New Roman" w:hAnsi="Times New Roman"/>
        </w:rPr>
        <w:drawing>
          <wp:anchor distT="0" distB="0" distL="114300" distR="114300" simplePos="0" relativeHeight="251658240" behindDoc="0" locked="0" layoutInCell="1" allowOverlap="1">
            <wp:simplePos x="0" y="0"/>
            <wp:positionH relativeFrom="column">
              <wp:posOffset>401320</wp:posOffset>
            </wp:positionH>
            <wp:positionV relativeFrom="paragraph">
              <wp:posOffset>8255</wp:posOffset>
            </wp:positionV>
            <wp:extent cx="4572000" cy="2924175"/>
            <wp:effectExtent l="4445" t="4445" r="14605" b="5080"/>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960" w:firstLineChars="300"/>
        <w:outlineLvl w:val="1"/>
        <w:rPr>
          <w:rFonts w:hint="eastAsia" w:ascii="Times New Roman" w:hAnsi="Times New Roman" w:eastAsia="黑体"/>
          <w:color w:val="auto"/>
          <w:sz w:val="32"/>
          <w:szCs w:val="32"/>
          <w:highlight w:val="none"/>
        </w:rPr>
      </w:pPr>
      <w:bookmarkStart w:id="29" w:name="_Toc15377209"/>
      <w:bookmarkStart w:id="30" w:name="_Toc15396607"/>
    </w:p>
    <w:p>
      <w:pPr>
        <w:spacing w:line="600" w:lineRule="exact"/>
        <w:ind w:firstLine="960" w:firstLineChars="300"/>
        <w:outlineLvl w:val="1"/>
        <w:rPr>
          <w:rStyle w:val="29"/>
          <w:rFonts w:ascii="Times New Roman" w:hAnsi="Times New Roman" w:eastAsia="黑体"/>
          <w:b w:val="0"/>
          <w:color w:val="auto"/>
          <w:highlight w:val="none"/>
        </w:rPr>
      </w:pPr>
      <w:bookmarkStart w:id="31" w:name="_Toc26406_WPSOffice_Level2"/>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9"/>
      <w:bookmarkEnd w:id="30"/>
      <w:bookmarkEnd w:id="3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2025年度一般公共预算财政拨款支出</w:t>
      </w:r>
      <w:r>
        <w:rPr>
          <w:rFonts w:hint="eastAsia" w:ascii="Times New Roman" w:hAnsi="Times New Roman" w:eastAsia="仿宋_GB2312" w:cs="仿宋_GB2312"/>
          <w:sz w:val="32"/>
          <w:szCs w:val="32"/>
        </w:rPr>
        <w:t>420.95</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Times New Roman" w:hAnsi="Times New Roman" w:eastAsia="仿宋_GB2312" w:cs="仿宋_GB2312"/>
          <w:sz w:val="32"/>
          <w:szCs w:val="32"/>
        </w:rPr>
        <w:t>98.91</w:t>
      </w:r>
      <w:r>
        <w:rPr>
          <w:rFonts w:hint="eastAsia" w:ascii="Times New Roman" w:hAnsi="Times New Roman" w:eastAsia="仿宋_GB2312" w:cs="仿宋_GB2312"/>
          <w:color w:val="auto"/>
          <w:kern w:val="2"/>
          <w:sz w:val="32"/>
          <w:szCs w:val="32"/>
          <w:highlight w:val="none"/>
          <w:lang w:val="en-US" w:eastAsia="zh-CN" w:bidi="ar-SA"/>
        </w:rPr>
        <w:t>%。与上年度相比，一般公共预算财政拨款支出增加45.27万元，增长12.1%。主要变动原因是</w:t>
      </w:r>
      <w:r>
        <w:rPr>
          <w:rFonts w:hint="eastAsia" w:ascii="Times New Roman" w:hAnsi="Times New Roman" w:eastAsia="仿宋_GB2312" w:cs="仿宋_GB2312"/>
          <w:color w:val="auto"/>
          <w:sz w:val="32"/>
          <w:szCs w:val="32"/>
          <w:highlight w:val="none"/>
          <w:lang w:eastAsia="zh-CN"/>
        </w:rPr>
        <w:t>新进人员，人员经费增加；项目经费增加。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pStyle w:val="2"/>
        <w:jc w:val="center"/>
        <w:rPr>
          <w:rFonts w:hint="eastAsia" w:ascii="Times New Roman" w:hAnsi="Times New Roman" w:eastAsia="仿宋_GB2312" w:cs="仿宋_GB2312"/>
          <w:color w:val="auto"/>
          <w:kern w:val="2"/>
          <w:sz w:val="32"/>
          <w:szCs w:val="32"/>
          <w:highlight w:val="none"/>
          <w:lang w:val="en-US" w:eastAsia="zh-CN" w:bidi="ar-SA"/>
        </w:rPr>
      </w:pPr>
      <w:r>
        <w:rPr>
          <w:rFonts w:ascii="Times New Roman" w:hAnsi="Times New Roman"/>
        </w:rPr>
        <w:drawing>
          <wp:inline distT="0" distB="0" distL="114300" distR="114300">
            <wp:extent cx="4580255" cy="2120900"/>
            <wp:effectExtent l="4445" t="5080" r="6350" b="7620"/>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3"/>
    </w:p>
    <w:p>
      <w:pPr>
        <w:spacing w:line="600" w:lineRule="exact"/>
        <w:ind w:firstLine="640"/>
        <w:rPr>
          <w:rFonts w:hint="eastAsia" w:ascii="Times New Roman" w:hAnsi="Times New Roman" w:eastAsia="仿宋_GB2312"/>
          <w:b w:val="0"/>
          <w:bCs w:val="0"/>
          <w:color w:val="auto"/>
          <w:sz w:val="32"/>
          <w:szCs w:val="32"/>
          <w:highlight w:val="none"/>
          <w:lang w:eastAsia="zh-CN"/>
        </w:rPr>
      </w:pPr>
      <w:r>
        <w:rPr>
          <w:rFonts w:hint="eastAsia" w:ascii="Times New Roman" w:hAnsi="Times New Roman" w:eastAsia="仿宋_GB2312" w:cs="仿宋_GB2312"/>
          <w:b w:val="0"/>
          <w:bCs w:val="0"/>
          <w:color w:val="auto"/>
          <w:kern w:val="2"/>
          <w:sz w:val="32"/>
          <w:szCs w:val="32"/>
          <w:highlight w:val="none"/>
          <w:lang w:val="en-US" w:eastAsia="zh-CN" w:bidi="ar-SA"/>
        </w:rPr>
        <w:t>2025年度一般公共预算财政拨款支出</w:t>
      </w:r>
      <w:r>
        <w:rPr>
          <w:rFonts w:hint="default" w:ascii="Times New Roman" w:hAnsi="Times New Roman" w:eastAsia="仿宋_GB2312" w:cs="Times New Roman"/>
          <w:b w:val="0"/>
          <w:bCs w:val="0"/>
          <w:sz w:val="32"/>
          <w:szCs w:val="32"/>
        </w:rPr>
        <w:t>420.95</w:t>
      </w:r>
      <w:r>
        <w:rPr>
          <w:rFonts w:hint="eastAsia" w:ascii="Times New Roman" w:hAnsi="Times New Roman" w:eastAsia="仿宋_GB2312" w:cs="仿宋_GB2312"/>
          <w:b w:val="0"/>
          <w:bCs w:val="0"/>
          <w:color w:val="auto"/>
          <w:kern w:val="2"/>
          <w:sz w:val="32"/>
          <w:szCs w:val="32"/>
          <w:highlight w:val="none"/>
          <w:lang w:val="en-US" w:eastAsia="zh-CN" w:bidi="ar-SA"/>
        </w:rPr>
        <w:t>万元，主要用于以下方面：</w:t>
      </w:r>
      <w:r>
        <w:rPr>
          <w:rFonts w:hint="eastAsia" w:ascii="Times New Roman" w:hAnsi="Times New Roman" w:eastAsia="仿宋_GB2312"/>
          <w:b w:val="0"/>
          <w:bCs w:val="0"/>
          <w:color w:val="auto"/>
          <w:sz w:val="32"/>
          <w:szCs w:val="32"/>
          <w:highlight w:val="none"/>
          <w:lang w:eastAsia="zh-CN"/>
        </w:rPr>
        <w:t>社会保障和就业</w:t>
      </w:r>
      <w:r>
        <w:rPr>
          <w:rFonts w:hint="eastAsia" w:ascii="Times New Roman" w:hAnsi="Times New Roman" w:eastAsia="仿宋_GB2312"/>
          <w:b w:val="0"/>
          <w:bCs w:val="0"/>
          <w:color w:val="auto"/>
          <w:sz w:val="32"/>
          <w:szCs w:val="32"/>
          <w:highlight w:val="none"/>
        </w:rPr>
        <w:t>（类）支出</w:t>
      </w:r>
      <w:r>
        <w:rPr>
          <w:rFonts w:hint="eastAsia" w:ascii="Times New Roman" w:hAnsi="Times New Roman" w:eastAsia="仿宋_GB2312"/>
          <w:b w:val="0"/>
          <w:bCs w:val="0"/>
          <w:color w:val="auto"/>
          <w:sz w:val="32"/>
          <w:szCs w:val="32"/>
          <w:highlight w:val="none"/>
          <w:lang w:val="en-US" w:eastAsia="zh-CN"/>
        </w:rPr>
        <w:t>47.67</w:t>
      </w:r>
      <w:r>
        <w:rPr>
          <w:rFonts w:hint="eastAsia" w:ascii="Times New Roman" w:hAnsi="Times New Roman" w:eastAsia="仿宋_GB2312"/>
          <w:b w:val="0"/>
          <w:bCs w:val="0"/>
          <w:color w:val="auto"/>
          <w:sz w:val="32"/>
          <w:szCs w:val="32"/>
          <w:highlight w:val="none"/>
        </w:rPr>
        <w:t>万元，占</w:t>
      </w:r>
      <w:r>
        <w:rPr>
          <w:rFonts w:hint="eastAsia" w:ascii="Times New Roman" w:hAnsi="Times New Roman" w:eastAsia="仿宋_GB2312"/>
          <w:b w:val="0"/>
          <w:bCs w:val="0"/>
          <w:color w:val="auto"/>
          <w:sz w:val="32"/>
          <w:szCs w:val="32"/>
          <w:highlight w:val="none"/>
          <w:lang w:val="en-US" w:eastAsia="zh-CN"/>
        </w:rPr>
        <w:t>11.3</w:t>
      </w:r>
      <w:r>
        <w:rPr>
          <w:rFonts w:ascii="Times New Roman" w:hAnsi="Times New Roman" w:eastAsia="仿宋_GB2312"/>
          <w:b w:val="0"/>
          <w:bCs w:val="0"/>
          <w:color w:val="auto"/>
          <w:sz w:val="32"/>
          <w:szCs w:val="32"/>
          <w:highlight w:val="none"/>
        </w:rPr>
        <w:t>%</w:t>
      </w:r>
      <w:r>
        <w:rPr>
          <w:rFonts w:hint="eastAsia" w:ascii="Times New Roman" w:hAnsi="Times New Roman" w:eastAsia="仿宋_GB2312"/>
          <w:b w:val="0"/>
          <w:bCs w:val="0"/>
          <w:color w:val="auto"/>
          <w:sz w:val="32"/>
          <w:szCs w:val="32"/>
          <w:highlight w:val="none"/>
          <w:lang w:val="en-US" w:eastAsia="zh-CN"/>
        </w:rPr>
        <w:t>;卫生健康（类）支出16.80万元，占4.0%；</w:t>
      </w:r>
      <w:r>
        <w:rPr>
          <w:rFonts w:hint="eastAsia" w:ascii="Times New Roman" w:hAnsi="Times New Roman" w:eastAsia="仿宋_GB2312"/>
          <w:b w:val="0"/>
          <w:bCs w:val="0"/>
          <w:color w:val="auto"/>
          <w:sz w:val="32"/>
          <w:szCs w:val="32"/>
          <w:highlight w:val="none"/>
          <w:lang w:eastAsia="zh-CN"/>
        </w:rPr>
        <w:t>农林水</w:t>
      </w:r>
      <w:r>
        <w:rPr>
          <w:rFonts w:hint="eastAsia" w:ascii="Times New Roman" w:hAnsi="Times New Roman" w:eastAsia="仿宋_GB2312"/>
          <w:b w:val="0"/>
          <w:bCs w:val="0"/>
          <w:color w:val="auto"/>
          <w:sz w:val="32"/>
          <w:szCs w:val="32"/>
          <w:highlight w:val="none"/>
        </w:rPr>
        <w:t>（类）</w:t>
      </w:r>
      <w:r>
        <w:rPr>
          <w:rFonts w:hint="eastAsia" w:ascii="Times New Roman" w:hAnsi="Times New Roman" w:eastAsia="仿宋_GB2312"/>
          <w:b w:val="0"/>
          <w:bCs w:val="0"/>
          <w:color w:val="auto"/>
          <w:sz w:val="32"/>
          <w:szCs w:val="32"/>
          <w:highlight w:val="none"/>
          <w:lang w:eastAsia="zh-CN"/>
        </w:rPr>
        <w:t>支出</w:t>
      </w:r>
      <w:r>
        <w:rPr>
          <w:rFonts w:hint="eastAsia" w:ascii="Times New Roman" w:hAnsi="Times New Roman" w:eastAsia="仿宋_GB2312"/>
          <w:b w:val="0"/>
          <w:bCs w:val="0"/>
          <w:color w:val="auto"/>
          <w:sz w:val="32"/>
          <w:szCs w:val="32"/>
          <w:highlight w:val="none"/>
          <w:lang w:val="en-US" w:eastAsia="zh-CN"/>
        </w:rPr>
        <w:t>333.83</w:t>
      </w:r>
      <w:r>
        <w:rPr>
          <w:rFonts w:hint="eastAsia" w:ascii="Times New Roman" w:hAnsi="Times New Roman" w:eastAsia="仿宋_GB2312"/>
          <w:b w:val="0"/>
          <w:bCs w:val="0"/>
          <w:color w:val="auto"/>
          <w:sz w:val="32"/>
          <w:szCs w:val="32"/>
          <w:highlight w:val="none"/>
        </w:rPr>
        <w:t>万元，占</w:t>
      </w:r>
      <w:r>
        <w:rPr>
          <w:rFonts w:hint="eastAsia" w:ascii="Times New Roman" w:hAnsi="Times New Roman" w:eastAsia="仿宋_GB2312"/>
          <w:b w:val="0"/>
          <w:bCs w:val="0"/>
          <w:color w:val="auto"/>
          <w:sz w:val="32"/>
          <w:szCs w:val="32"/>
          <w:highlight w:val="none"/>
          <w:lang w:val="en-US" w:eastAsia="zh-CN"/>
        </w:rPr>
        <w:t>79.3</w:t>
      </w:r>
      <w:r>
        <w:rPr>
          <w:rFonts w:ascii="Times New Roman" w:hAnsi="Times New Roman" w:eastAsia="仿宋_GB2312"/>
          <w:b w:val="0"/>
          <w:bCs w:val="0"/>
          <w:color w:val="auto"/>
          <w:sz w:val="32"/>
          <w:szCs w:val="32"/>
          <w:highlight w:val="none"/>
        </w:rPr>
        <w:t>%</w:t>
      </w:r>
      <w:r>
        <w:rPr>
          <w:rFonts w:hint="eastAsia" w:ascii="Times New Roman" w:hAnsi="Times New Roman" w:eastAsia="仿宋_GB2312"/>
          <w:b w:val="0"/>
          <w:bCs w:val="0"/>
          <w:color w:val="auto"/>
          <w:sz w:val="32"/>
          <w:szCs w:val="32"/>
          <w:highlight w:val="none"/>
        </w:rPr>
        <w:t>；</w:t>
      </w:r>
      <w:r>
        <w:rPr>
          <w:rFonts w:hint="eastAsia" w:ascii="Times New Roman" w:hAnsi="Times New Roman" w:eastAsia="仿宋_GB2312"/>
          <w:b w:val="0"/>
          <w:bCs w:val="0"/>
          <w:color w:val="auto"/>
          <w:sz w:val="32"/>
          <w:szCs w:val="32"/>
          <w:highlight w:val="none"/>
          <w:lang w:eastAsia="zh-CN"/>
        </w:rPr>
        <w:t>住房保障</w:t>
      </w:r>
      <w:r>
        <w:rPr>
          <w:rFonts w:hint="eastAsia" w:ascii="Times New Roman" w:hAnsi="Times New Roman" w:eastAsia="仿宋_GB2312"/>
          <w:b w:val="0"/>
          <w:bCs w:val="0"/>
          <w:color w:val="auto"/>
          <w:sz w:val="32"/>
          <w:szCs w:val="32"/>
          <w:highlight w:val="none"/>
        </w:rPr>
        <w:t>（类）支出</w:t>
      </w:r>
      <w:r>
        <w:rPr>
          <w:rFonts w:hint="eastAsia" w:ascii="Times New Roman" w:hAnsi="Times New Roman" w:eastAsia="仿宋_GB2312"/>
          <w:b w:val="0"/>
          <w:bCs w:val="0"/>
          <w:color w:val="auto"/>
          <w:sz w:val="32"/>
          <w:szCs w:val="32"/>
          <w:highlight w:val="none"/>
          <w:lang w:val="en-US" w:eastAsia="zh-CN"/>
        </w:rPr>
        <w:t>22.65</w:t>
      </w:r>
      <w:r>
        <w:rPr>
          <w:rFonts w:hint="eastAsia" w:ascii="Times New Roman" w:hAnsi="Times New Roman" w:eastAsia="仿宋_GB2312"/>
          <w:b w:val="0"/>
          <w:bCs w:val="0"/>
          <w:color w:val="auto"/>
          <w:sz w:val="32"/>
          <w:szCs w:val="32"/>
          <w:highlight w:val="none"/>
        </w:rPr>
        <w:t>万元，占</w:t>
      </w:r>
      <w:r>
        <w:rPr>
          <w:rFonts w:hint="eastAsia" w:ascii="Times New Roman" w:hAnsi="Times New Roman" w:eastAsia="仿宋_GB2312"/>
          <w:b w:val="0"/>
          <w:bCs w:val="0"/>
          <w:color w:val="auto"/>
          <w:sz w:val="32"/>
          <w:szCs w:val="32"/>
          <w:highlight w:val="none"/>
          <w:lang w:val="en-US" w:eastAsia="zh-CN"/>
        </w:rPr>
        <w:t>5.4</w:t>
      </w:r>
      <w:r>
        <w:rPr>
          <w:rFonts w:ascii="Times New Roman" w:hAnsi="Times New Roman" w:eastAsia="仿宋_GB2312"/>
          <w:b w:val="0"/>
          <w:bCs w:val="0"/>
          <w:color w:val="auto"/>
          <w:sz w:val="32"/>
          <w:szCs w:val="32"/>
          <w:highlight w:val="none"/>
        </w:rPr>
        <w:t>%</w:t>
      </w:r>
      <w:r>
        <w:rPr>
          <w:rFonts w:hint="eastAsia" w:ascii="Times New Roman" w:hAnsi="Times New Roman" w:eastAsia="仿宋_GB2312"/>
          <w:b w:val="0"/>
          <w:bCs w:val="0"/>
          <w:color w:val="auto"/>
          <w:sz w:val="32"/>
          <w:szCs w:val="32"/>
          <w:highlight w:val="none"/>
          <w:lang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pStyle w:val="2"/>
        <w:jc w:val="center"/>
        <w:rPr>
          <w:rFonts w:hint="eastAsia" w:ascii="Times New Roman" w:hAnsi="Times New Roman" w:eastAsia="仿宋_GB2312" w:cs="仿宋_GB2312"/>
          <w:color w:val="auto"/>
          <w:kern w:val="2"/>
          <w:sz w:val="32"/>
          <w:szCs w:val="32"/>
          <w:highlight w:val="none"/>
          <w:lang w:val="en-US" w:eastAsia="zh-CN" w:bidi="ar-SA"/>
        </w:rPr>
      </w:pPr>
      <w:r>
        <w:rPr>
          <w:rFonts w:ascii="Times New Roman" w:hAnsi="Times New Roman"/>
        </w:rPr>
        <w:drawing>
          <wp:inline distT="0" distB="0" distL="114300" distR="114300">
            <wp:extent cx="4638675" cy="2828925"/>
            <wp:effectExtent l="4445" t="4445" r="5080" b="5080"/>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5" w:name="_Toc15377213"/>
      <w:bookmarkStart w:id="36" w:name="_Toc15377444"/>
      <w:bookmarkStart w:id="37" w:name="_Toc15378460"/>
      <w:r>
        <w:rPr>
          <w:rFonts w:hint="eastAsia" w:ascii="Times New Roman" w:hAnsi="Times New Roman" w:eastAsia="仿宋_GB2312" w:cs="仿宋_GB2312"/>
          <w:color w:val="auto"/>
          <w:kern w:val="2"/>
          <w:sz w:val="32"/>
          <w:szCs w:val="32"/>
          <w:highlight w:val="none"/>
          <w:lang w:val="en-US" w:eastAsia="zh-CN" w:bidi="ar-SA"/>
        </w:rPr>
        <w:t>2025年度一般公共预算支出决算数为</w:t>
      </w:r>
      <w:r>
        <w:rPr>
          <w:rFonts w:hint="eastAsia" w:ascii="Times New Roman" w:hAnsi="Times New Roman" w:eastAsia="仿宋_GB2312" w:cs="仿宋_GB2312"/>
          <w:sz w:val="32"/>
          <w:szCs w:val="32"/>
        </w:rPr>
        <w:t>420.95</w:t>
      </w:r>
      <w:r>
        <w:rPr>
          <w:rFonts w:hint="eastAsia" w:ascii="Times New Roman" w:hAnsi="Times New Roman" w:eastAsia="仿宋_GB2312" w:cs="仿宋_GB2312"/>
          <w:sz w:val="32"/>
          <w:szCs w:val="32"/>
          <w:lang w:eastAsia="zh-CN"/>
        </w:rPr>
        <w:t>万元</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5"/>
      <w:bookmarkEnd w:id="36"/>
      <w:bookmarkEnd w:id="37"/>
    </w:p>
    <w:p>
      <w:pPr>
        <w:spacing w:line="600" w:lineRule="exact"/>
        <w:ind w:firstLine="640" w:firstLineChars="200"/>
        <w:rPr>
          <w:rStyle w:val="17"/>
          <w:rFonts w:hint="eastAsia" w:ascii="Times New Roman" w:hAnsi="Times New Roman" w:eastAsia="仿宋_GB2312"/>
          <w:b w:val="0"/>
          <w:bCs w:val="0"/>
          <w:color w:val="auto"/>
          <w:sz w:val="32"/>
          <w:szCs w:val="32"/>
          <w:highlight w:val="none"/>
        </w:rPr>
      </w:pPr>
      <w:r>
        <w:rPr>
          <w:rStyle w:val="17"/>
          <w:rFonts w:hint="eastAsia" w:ascii="Times New Roman" w:hAnsi="Times New Roman" w:eastAsia="仿宋_GB2312"/>
          <w:b w:val="0"/>
          <w:bCs w:val="0"/>
          <w:color w:val="auto"/>
          <w:sz w:val="32"/>
          <w:szCs w:val="32"/>
          <w:highlight w:val="none"/>
          <w:lang w:val="en-US" w:eastAsia="zh-CN"/>
        </w:rPr>
        <w:t>1</w:t>
      </w:r>
      <w:r>
        <w:rPr>
          <w:rStyle w:val="17"/>
          <w:rFonts w:ascii="Times New Roman" w:hAnsi="Times New Roman" w:eastAsia="仿宋_GB2312"/>
          <w:b w:val="0"/>
          <w:bCs w:val="0"/>
          <w:color w:val="auto"/>
          <w:sz w:val="32"/>
          <w:szCs w:val="32"/>
          <w:highlight w:val="none"/>
        </w:rPr>
        <w:t>.</w:t>
      </w:r>
      <w:r>
        <w:rPr>
          <w:rStyle w:val="17"/>
          <w:rFonts w:hint="eastAsia" w:ascii="Times New Roman" w:hAnsi="Times New Roman" w:eastAsia="仿宋_GB2312"/>
          <w:b w:val="0"/>
          <w:bCs w:val="0"/>
          <w:color w:val="auto"/>
          <w:sz w:val="32"/>
          <w:szCs w:val="32"/>
          <w:highlight w:val="none"/>
        </w:rPr>
        <w:t>社会保障和就业（类）行政事业单位养老支出（款）事业单位离退休（项）</w:t>
      </w:r>
      <w:r>
        <w:rPr>
          <w:rStyle w:val="17"/>
          <w:rFonts w:ascii="Times New Roman" w:hAnsi="Times New Roman" w:eastAsia="仿宋_GB2312"/>
          <w:b w:val="0"/>
          <w:bCs w:val="0"/>
          <w:color w:val="auto"/>
          <w:sz w:val="32"/>
          <w:szCs w:val="32"/>
          <w:highlight w:val="none"/>
        </w:rPr>
        <w:t>:</w:t>
      </w:r>
      <w:r>
        <w:rPr>
          <w:rStyle w:val="17"/>
          <w:rFonts w:hint="eastAsia" w:ascii="Times New Roman" w:hAnsi="Times New Roman" w:eastAsia="仿宋_GB2312"/>
          <w:b w:val="0"/>
          <w:bCs w:val="0"/>
          <w:color w:val="auto"/>
          <w:sz w:val="32"/>
          <w:szCs w:val="32"/>
          <w:highlight w:val="none"/>
        </w:rPr>
        <w:t>支出决算为</w:t>
      </w:r>
      <w:r>
        <w:rPr>
          <w:rStyle w:val="17"/>
          <w:rFonts w:hint="eastAsia" w:ascii="Times New Roman" w:hAnsi="Times New Roman" w:eastAsia="仿宋_GB2312"/>
          <w:b w:val="0"/>
          <w:bCs w:val="0"/>
          <w:color w:val="auto"/>
          <w:sz w:val="32"/>
          <w:szCs w:val="32"/>
          <w:highlight w:val="none"/>
          <w:lang w:val="en-US" w:eastAsia="zh-CN"/>
        </w:rPr>
        <w:t>3.39</w:t>
      </w:r>
      <w:r>
        <w:rPr>
          <w:rStyle w:val="17"/>
          <w:rFonts w:hint="eastAsia" w:ascii="Times New Roman" w:hAnsi="Times New Roman" w:eastAsia="仿宋_GB2312"/>
          <w:b w:val="0"/>
          <w:bCs w:val="0"/>
          <w:color w:val="auto"/>
          <w:sz w:val="32"/>
          <w:szCs w:val="32"/>
          <w:highlight w:val="none"/>
        </w:rPr>
        <w:t>万元，完成预算</w:t>
      </w:r>
      <w:r>
        <w:rPr>
          <w:rStyle w:val="17"/>
          <w:rFonts w:hint="eastAsia" w:eastAsia="仿宋_GB2312"/>
          <w:b w:val="0"/>
          <w:bCs w:val="0"/>
          <w:color w:val="auto"/>
          <w:sz w:val="32"/>
          <w:szCs w:val="32"/>
          <w:highlight w:val="none"/>
          <w:lang w:val="en-US" w:eastAsia="zh-CN"/>
        </w:rPr>
        <w:t>100%</w:t>
      </w:r>
      <w:r>
        <w:rPr>
          <w:rStyle w:val="17"/>
          <w:rFonts w:hint="eastAsia" w:ascii="Times New Roman" w:hAnsi="Times New Roman" w:eastAsia="仿宋_GB2312"/>
          <w:b w:val="0"/>
          <w:bCs w:val="0"/>
          <w:color w:val="auto"/>
          <w:sz w:val="32"/>
          <w:szCs w:val="32"/>
          <w:highlight w:val="none"/>
        </w:rPr>
        <w:t>。</w:t>
      </w:r>
    </w:p>
    <w:p>
      <w:pPr>
        <w:spacing w:line="600" w:lineRule="exact"/>
        <w:ind w:firstLine="640" w:firstLineChars="200"/>
        <w:rPr>
          <w:rStyle w:val="17"/>
          <w:rFonts w:hint="eastAsia" w:ascii="Times New Roman" w:hAnsi="Times New Roman" w:eastAsia="仿宋_GB2312"/>
          <w:b w:val="0"/>
          <w:bCs w:val="0"/>
          <w:color w:val="auto"/>
          <w:sz w:val="32"/>
          <w:szCs w:val="32"/>
          <w:highlight w:val="none"/>
        </w:rPr>
      </w:pPr>
      <w:r>
        <w:rPr>
          <w:rStyle w:val="17"/>
          <w:rFonts w:hint="eastAsia" w:ascii="Times New Roman" w:hAnsi="Times New Roman" w:eastAsia="仿宋_GB2312"/>
          <w:b w:val="0"/>
          <w:bCs w:val="0"/>
          <w:color w:val="auto"/>
          <w:sz w:val="32"/>
          <w:szCs w:val="32"/>
          <w:highlight w:val="none"/>
          <w:lang w:val="en-US" w:eastAsia="zh-CN"/>
        </w:rPr>
        <w:t>2</w:t>
      </w:r>
      <w:r>
        <w:rPr>
          <w:rStyle w:val="17"/>
          <w:rFonts w:ascii="Times New Roman" w:hAnsi="Times New Roman" w:eastAsia="仿宋_GB2312"/>
          <w:b w:val="0"/>
          <w:bCs w:val="0"/>
          <w:color w:val="auto"/>
          <w:sz w:val="32"/>
          <w:szCs w:val="32"/>
          <w:highlight w:val="none"/>
        </w:rPr>
        <w:t>.</w:t>
      </w:r>
      <w:r>
        <w:rPr>
          <w:rStyle w:val="17"/>
          <w:rFonts w:hint="eastAsia" w:ascii="Times New Roman" w:hAnsi="Times New Roman" w:eastAsia="仿宋_GB2312"/>
          <w:b w:val="0"/>
          <w:bCs w:val="0"/>
          <w:color w:val="000000"/>
          <w:sz w:val="32"/>
          <w:szCs w:val="32"/>
        </w:rPr>
        <w:t>社会保障和就业（类）</w:t>
      </w:r>
      <w:r>
        <w:rPr>
          <w:rStyle w:val="17"/>
          <w:rFonts w:hint="eastAsia" w:ascii="Times New Roman" w:hAnsi="Times New Roman" w:eastAsia="仿宋_GB2312"/>
          <w:b w:val="0"/>
          <w:bCs w:val="0"/>
          <w:color w:val="000000"/>
          <w:sz w:val="32"/>
          <w:szCs w:val="32"/>
          <w:lang w:eastAsia="zh-CN"/>
        </w:rPr>
        <w:t>行政事业单位养老支出</w:t>
      </w:r>
      <w:r>
        <w:rPr>
          <w:rStyle w:val="17"/>
          <w:rFonts w:hint="eastAsia" w:ascii="Times New Roman" w:hAnsi="Times New Roman" w:eastAsia="仿宋_GB2312"/>
          <w:b w:val="0"/>
          <w:bCs w:val="0"/>
          <w:color w:val="000000"/>
          <w:sz w:val="32"/>
          <w:szCs w:val="32"/>
        </w:rPr>
        <w:t>（款）</w:t>
      </w:r>
      <w:r>
        <w:rPr>
          <w:rStyle w:val="17"/>
          <w:rFonts w:hint="eastAsia" w:ascii="Times New Roman" w:hAnsi="Times New Roman" w:eastAsia="仿宋_GB2312"/>
          <w:b w:val="0"/>
          <w:bCs w:val="0"/>
          <w:color w:val="000000"/>
          <w:sz w:val="32"/>
          <w:szCs w:val="32"/>
          <w:lang w:eastAsia="zh-CN"/>
        </w:rPr>
        <w:t>机关事业单位基本养老保险缴费</w:t>
      </w:r>
      <w:r>
        <w:rPr>
          <w:rStyle w:val="17"/>
          <w:rFonts w:hint="eastAsia" w:ascii="Times New Roman" w:hAnsi="Times New Roman" w:eastAsia="仿宋_GB2312"/>
          <w:b w:val="0"/>
          <w:bCs w:val="0"/>
          <w:color w:val="000000"/>
          <w:sz w:val="32"/>
          <w:szCs w:val="32"/>
        </w:rPr>
        <w:t>（项）</w:t>
      </w:r>
      <w:r>
        <w:rPr>
          <w:rStyle w:val="17"/>
          <w:rFonts w:ascii="Times New Roman" w:hAnsi="Times New Roman" w:eastAsia="仿宋_GB2312"/>
          <w:b w:val="0"/>
          <w:bCs w:val="0"/>
          <w:color w:val="auto"/>
          <w:sz w:val="32"/>
          <w:szCs w:val="32"/>
          <w:highlight w:val="none"/>
        </w:rPr>
        <w:t>:</w:t>
      </w:r>
      <w:r>
        <w:rPr>
          <w:rStyle w:val="17"/>
          <w:rFonts w:hint="eastAsia" w:ascii="Times New Roman" w:hAnsi="Times New Roman" w:eastAsia="仿宋_GB2312"/>
          <w:b w:val="0"/>
          <w:bCs w:val="0"/>
          <w:color w:val="auto"/>
          <w:sz w:val="32"/>
          <w:szCs w:val="32"/>
          <w:highlight w:val="none"/>
        </w:rPr>
        <w:t>支出决算为</w:t>
      </w:r>
      <w:r>
        <w:rPr>
          <w:rStyle w:val="17"/>
          <w:rFonts w:hint="eastAsia" w:ascii="Times New Roman" w:hAnsi="Times New Roman" w:eastAsia="仿宋_GB2312"/>
          <w:b w:val="0"/>
          <w:bCs w:val="0"/>
          <w:color w:val="auto"/>
          <w:sz w:val="32"/>
          <w:szCs w:val="32"/>
          <w:highlight w:val="none"/>
          <w:lang w:val="en-US" w:eastAsia="zh-CN"/>
        </w:rPr>
        <w:t>29.76</w:t>
      </w:r>
      <w:r>
        <w:rPr>
          <w:rStyle w:val="17"/>
          <w:rFonts w:hint="eastAsia" w:ascii="Times New Roman" w:hAnsi="Times New Roman" w:eastAsia="仿宋_GB2312"/>
          <w:b w:val="0"/>
          <w:bCs w:val="0"/>
          <w:color w:val="auto"/>
          <w:sz w:val="32"/>
          <w:szCs w:val="32"/>
          <w:highlight w:val="none"/>
        </w:rPr>
        <w:t>万元，完成预算</w:t>
      </w:r>
      <w:r>
        <w:rPr>
          <w:rStyle w:val="17"/>
          <w:rFonts w:hint="eastAsia" w:eastAsia="仿宋_GB2312"/>
          <w:b w:val="0"/>
          <w:bCs w:val="0"/>
          <w:color w:val="auto"/>
          <w:sz w:val="32"/>
          <w:szCs w:val="32"/>
          <w:highlight w:val="none"/>
          <w:lang w:val="en-US" w:eastAsia="zh-CN"/>
        </w:rPr>
        <w:t>100%</w:t>
      </w:r>
      <w:r>
        <w:rPr>
          <w:rStyle w:val="17"/>
          <w:rFonts w:hint="eastAsia" w:ascii="Times New Roman" w:hAnsi="Times New Roman" w:eastAsia="仿宋_GB2312"/>
          <w:b w:val="0"/>
          <w:bCs w:val="0"/>
          <w:color w:val="auto"/>
          <w:sz w:val="32"/>
          <w:szCs w:val="32"/>
          <w:highlight w:val="none"/>
        </w:rPr>
        <w:t>。</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b w:val="0"/>
          <w:bCs w:val="0"/>
          <w:sz w:val="32"/>
          <w:lang w:val="en-US" w:eastAsia="zh-CN"/>
        </w:rPr>
      </w:pPr>
      <w:r>
        <w:rPr>
          <w:rStyle w:val="17"/>
          <w:rFonts w:hint="eastAsia" w:ascii="Times New Roman" w:hAnsi="Times New Roman"/>
          <w:b w:val="0"/>
          <w:bCs w:val="0"/>
          <w:color w:val="auto"/>
          <w:sz w:val="32"/>
          <w:szCs w:val="32"/>
          <w:highlight w:val="none"/>
          <w:lang w:val="en-US" w:eastAsia="zh-CN"/>
        </w:rPr>
        <w:t>3.社会保障和就业支出（类）人力资源和社会保障管理事务（款）其他人力资源和社会保障管理事务支出（项）：支出决算为14.52万元，完成预算</w:t>
      </w:r>
      <w:r>
        <w:rPr>
          <w:rStyle w:val="17"/>
          <w:rFonts w:hint="eastAsia" w:ascii="Times New Roman"/>
          <w:b w:val="0"/>
          <w:bCs w:val="0"/>
          <w:color w:val="auto"/>
          <w:sz w:val="32"/>
          <w:szCs w:val="32"/>
          <w:highlight w:val="none"/>
          <w:lang w:val="en-US" w:eastAsia="zh-CN"/>
        </w:rPr>
        <w:t>100%</w:t>
      </w:r>
      <w:r>
        <w:rPr>
          <w:rStyle w:val="17"/>
          <w:rFonts w:hint="eastAsia" w:ascii="Times New Roman" w:hAnsi="Times New Roman"/>
          <w:b w:val="0"/>
          <w:bCs w:val="0"/>
          <w:color w:val="auto"/>
          <w:sz w:val="32"/>
          <w:szCs w:val="32"/>
          <w:highlight w:val="none"/>
          <w:lang w:val="en-US" w:eastAsia="zh-CN"/>
        </w:rPr>
        <w:t>。</w:t>
      </w:r>
    </w:p>
    <w:p>
      <w:pPr>
        <w:spacing w:line="600" w:lineRule="exact"/>
        <w:ind w:firstLine="640" w:firstLineChars="200"/>
        <w:rPr>
          <w:rStyle w:val="17"/>
          <w:rFonts w:hint="default" w:ascii="Times New Roman" w:hAnsi="Times New Roman" w:eastAsia="仿宋_GB2312"/>
          <w:b w:val="0"/>
          <w:bCs w:val="0"/>
          <w:color w:val="000000"/>
          <w:sz w:val="32"/>
          <w:szCs w:val="32"/>
          <w:lang w:val="en-US"/>
        </w:rPr>
      </w:pPr>
      <w:r>
        <w:rPr>
          <w:rStyle w:val="17"/>
          <w:rFonts w:hint="eastAsia" w:ascii="Times New Roman" w:hAnsi="Times New Roman" w:eastAsia="仿宋_GB2312"/>
          <w:b w:val="0"/>
          <w:bCs w:val="0"/>
          <w:color w:val="auto"/>
          <w:sz w:val="32"/>
          <w:szCs w:val="32"/>
          <w:highlight w:val="none"/>
          <w:lang w:val="en-US" w:eastAsia="zh-CN"/>
        </w:rPr>
        <w:t>4.卫生健康支出</w:t>
      </w:r>
      <w:r>
        <w:rPr>
          <w:rStyle w:val="17"/>
          <w:rFonts w:hint="eastAsia" w:ascii="Times New Roman" w:hAnsi="Times New Roman" w:eastAsia="仿宋_GB2312"/>
          <w:b w:val="0"/>
          <w:bCs w:val="0"/>
          <w:color w:val="000000"/>
          <w:sz w:val="32"/>
          <w:szCs w:val="32"/>
        </w:rPr>
        <w:t>（类）</w:t>
      </w:r>
      <w:r>
        <w:rPr>
          <w:rStyle w:val="17"/>
          <w:rFonts w:hint="eastAsia" w:ascii="Times New Roman" w:hAnsi="Times New Roman" w:eastAsia="仿宋_GB2312"/>
          <w:b w:val="0"/>
          <w:bCs w:val="0"/>
          <w:color w:val="000000"/>
          <w:sz w:val="32"/>
          <w:szCs w:val="32"/>
          <w:lang w:eastAsia="zh-CN"/>
        </w:rPr>
        <w:t>行政事业单位医疗</w:t>
      </w:r>
      <w:r>
        <w:rPr>
          <w:rStyle w:val="17"/>
          <w:rFonts w:hint="eastAsia" w:ascii="Times New Roman" w:hAnsi="Times New Roman" w:eastAsia="仿宋_GB2312"/>
          <w:b w:val="0"/>
          <w:bCs w:val="0"/>
          <w:color w:val="000000"/>
          <w:sz w:val="32"/>
          <w:szCs w:val="32"/>
        </w:rPr>
        <w:t>（款）</w:t>
      </w:r>
      <w:r>
        <w:rPr>
          <w:rStyle w:val="17"/>
          <w:rFonts w:hint="eastAsia" w:ascii="Times New Roman" w:hAnsi="Times New Roman" w:eastAsia="仿宋_GB2312"/>
          <w:b w:val="0"/>
          <w:bCs w:val="0"/>
          <w:color w:val="000000"/>
          <w:sz w:val="32"/>
          <w:szCs w:val="32"/>
          <w:lang w:eastAsia="zh-CN"/>
        </w:rPr>
        <w:t>事业单位医疗</w:t>
      </w:r>
      <w:r>
        <w:rPr>
          <w:rStyle w:val="17"/>
          <w:rFonts w:hint="eastAsia" w:ascii="Times New Roman" w:hAnsi="Times New Roman" w:eastAsia="仿宋_GB2312"/>
          <w:b w:val="0"/>
          <w:bCs w:val="0"/>
          <w:color w:val="000000"/>
          <w:sz w:val="32"/>
          <w:szCs w:val="32"/>
        </w:rPr>
        <w:t>（项）</w:t>
      </w:r>
      <w:r>
        <w:rPr>
          <w:rStyle w:val="17"/>
          <w:rFonts w:ascii="Times New Roman" w:hAnsi="Times New Roman" w:eastAsia="仿宋_GB2312"/>
          <w:b w:val="0"/>
          <w:bCs w:val="0"/>
          <w:color w:val="auto"/>
          <w:sz w:val="32"/>
          <w:szCs w:val="32"/>
          <w:highlight w:val="none"/>
        </w:rPr>
        <w:t>:</w:t>
      </w:r>
      <w:r>
        <w:rPr>
          <w:rStyle w:val="17"/>
          <w:rFonts w:hint="eastAsia" w:ascii="Times New Roman" w:hAnsi="Times New Roman" w:eastAsia="仿宋_GB2312"/>
          <w:b w:val="0"/>
          <w:bCs w:val="0"/>
          <w:color w:val="auto"/>
          <w:sz w:val="32"/>
          <w:szCs w:val="32"/>
          <w:highlight w:val="none"/>
        </w:rPr>
        <w:t>支出决算为</w:t>
      </w:r>
      <w:r>
        <w:rPr>
          <w:rStyle w:val="17"/>
          <w:rFonts w:hint="eastAsia" w:ascii="Times New Roman" w:hAnsi="Times New Roman" w:eastAsia="仿宋_GB2312"/>
          <w:b w:val="0"/>
          <w:bCs w:val="0"/>
          <w:color w:val="auto"/>
          <w:sz w:val="32"/>
          <w:szCs w:val="32"/>
          <w:highlight w:val="none"/>
          <w:lang w:val="en-US" w:eastAsia="zh-CN"/>
        </w:rPr>
        <w:t>14.94万元，完成预算</w:t>
      </w:r>
      <w:r>
        <w:rPr>
          <w:rStyle w:val="17"/>
          <w:rFonts w:hint="eastAsia" w:eastAsia="仿宋_GB2312"/>
          <w:b w:val="0"/>
          <w:bCs w:val="0"/>
          <w:color w:val="auto"/>
          <w:sz w:val="32"/>
          <w:szCs w:val="32"/>
          <w:highlight w:val="none"/>
          <w:lang w:val="en-US" w:eastAsia="zh-CN"/>
        </w:rPr>
        <w:t>100%</w:t>
      </w:r>
      <w:r>
        <w:rPr>
          <w:rStyle w:val="17"/>
          <w:rFonts w:hint="eastAsia" w:ascii="Times New Roman" w:hAnsi="Times New Roman" w:eastAsia="仿宋_GB2312"/>
          <w:b w:val="0"/>
          <w:bCs w:val="0"/>
          <w:color w:val="auto"/>
          <w:sz w:val="32"/>
          <w:szCs w:val="32"/>
          <w:highlight w:val="none"/>
          <w:lang w:val="en-US" w:eastAsia="zh-CN"/>
        </w:rPr>
        <w:t>。</w:t>
      </w:r>
    </w:p>
    <w:p>
      <w:pPr>
        <w:spacing w:line="600" w:lineRule="exact"/>
        <w:ind w:firstLine="640" w:firstLineChars="200"/>
        <w:rPr>
          <w:rStyle w:val="17"/>
          <w:rFonts w:hint="default" w:ascii="Times New Roman" w:hAnsi="Times New Roman" w:eastAsia="仿宋_GB2312"/>
          <w:b w:val="0"/>
          <w:bCs w:val="0"/>
          <w:color w:val="000000"/>
          <w:sz w:val="32"/>
          <w:szCs w:val="32"/>
          <w:lang w:val="en-US"/>
        </w:rPr>
      </w:pPr>
      <w:r>
        <w:rPr>
          <w:rStyle w:val="17"/>
          <w:rFonts w:hint="eastAsia" w:ascii="Times New Roman" w:hAnsi="Times New Roman" w:eastAsia="仿宋_GB2312"/>
          <w:b w:val="0"/>
          <w:bCs w:val="0"/>
          <w:color w:val="auto"/>
          <w:sz w:val="32"/>
          <w:szCs w:val="32"/>
          <w:highlight w:val="none"/>
          <w:lang w:val="en-US" w:eastAsia="zh-CN"/>
        </w:rPr>
        <w:t>5.卫生健康支出</w:t>
      </w:r>
      <w:r>
        <w:rPr>
          <w:rStyle w:val="17"/>
          <w:rFonts w:hint="eastAsia" w:ascii="Times New Roman" w:hAnsi="Times New Roman" w:eastAsia="仿宋_GB2312"/>
          <w:b w:val="0"/>
          <w:bCs w:val="0"/>
          <w:color w:val="000000"/>
          <w:sz w:val="32"/>
          <w:szCs w:val="32"/>
        </w:rPr>
        <w:t>（类）</w:t>
      </w:r>
      <w:r>
        <w:rPr>
          <w:rStyle w:val="17"/>
          <w:rFonts w:hint="eastAsia" w:ascii="Times New Roman" w:hAnsi="Times New Roman" w:eastAsia="仿宋_GB2312"/>
          <w:b w:val="0"/>
          <w:bCs w:val="0"/>
          <w:color w:val="000000"/>
          <w:sz w:val="32"/>
          <w:szCs w:val="32"/>
          <w:lang w:eastAsia="zh-CN"/>
        </w:rPr>
        <w:t>行政事业单位医疗</w:t>
      </w:r>
      <w:r>
        <w:rPr>
          <w:rStyle w:val="17"/>
          <w:rFonts w:hint="eastAsia" w:ascii="Times New Roman" w:hAnsi="Times New Roman" w:eastAsia="仿宋_GB2312"/>
          <w:b w:val="0"/>
          <w:bCs w:val="0"/>
          <w:color w:val="000000"/>
          <w:sz w:val="32"/>
          <w:szCs w:val="32"/>
        </w:rPr>
        <w:t>（款）</w:t>
      </w:r>
      <w:r>
        <w:rPr>
          <w:rStyle w:val="17"/>
          <w:rFonts w:hint="eastAsia" w:ascii="Times New Roman" w:hAnsi="Times New Roman" w:eastAsia="仿宋_GB2312"/>
          <w:b w:val="0"/>
          <w:bCs w:val="0"/>
          <w:color w:val="000000"/>
          <w:sz w:val="32"/>
          <w:szCs w:val="32"/>
          <w:lang w:eastAsia="zh-CN"/>
        </w:rPr>
        <w:t>公务员医疗补助</w:t>
      </w:r>
      <w:r>
        <w:rPr>
          <w:rStyle w:val="17"/>
          <w:rFonts w:hint="eastAsia" w:ascii="Times New Roman" w:hAnsi="Times New Roman" w:eastAsia="仿宋_GB2312"/>
          <w:b w:val="0"/>
          <w:bCs w:val="0"/>
          <w:color w:val="000000"/>
          <w:sz w:val="32"/>
          <w:szCs w:val="32"/>
        </w:rPr>
        <w:t>（项）</w:t>
      </w:r>
      <w:r>
        <w:rPr>
          <w:rStyle w:val="17"/>
          <w:rFonts w:ascii="Times New Roman" w:hAnsi="Times New Roman" w:eastAsia="仿宋_GB2312"/>
          <w:b w:val="0"/>
          <w:bCs w:val="0"/>
          <w:color w:val="auto"/>
          <w:sz w:val="32"/>
          <w:szCs w:val="32"/>
          <w:highlight w:val="none"/>
        </w:rPr>
        <w:t>:</w:t>
      </w:r>
      <w:r>
        <w:rPr>
          <w:rStyle w:val="17"/>
          <w:rFonts w:hint="eastAsia" w:ascii="Times New Roman" w:hAnsi="Times New Roman" w:eastAsia="仿宋_GB2312"/>
          <w:b w:val="0"/>
          <w:bCs w:val="0"/>
          <w:color w:val="auto"/>
          <w:sz w:val="32"/>
          <w:szCs w:val="32"/>
          <w:highlight w:val="none"/>
        </w:rPr>
        <w:t>支出决算为</w:t>
      </w:r>
      <w:r>
        <w:rPr>
          <w:rStyle w:val="17"/>
          <w:rFonts w:hint="eastAsia" w:ascii="Times New Roman" w:hAnsi="Times New Roman" w:eastAsia="仿宋_GB2312"/>
          <w:b w:val="0"/>
          <w:bCs w:val="0"/>
          <w:color w:val="auto"/>
          <w:sz w:val="32"/>
          <w:szCs w:val="32"/>
          <w:highlight w:val="none"/>
          <w:lang w:val="en-US" w:eastAsia="zh-CN"/>
        </w:rPr>
        <w:t>1.86万元，完成预算</w:t>
      </w:r>
      <w:r>
        <w:rPr>
          <w:rStyle w:val="17"/>
          <w:rFonts w:hint="eastAsia" w:eastAsia="仿宋_GB2312"/>
          <w:b w:val="0"/>
          <w:bCs w:val="0"/>
          <w:color w:val="auto"/>
          <w:sz w:val="32"/>
          <w:szCs w:val="32"/>
          <w:highlight w:val="none"/>
          <w:lang w:val="en-US" w:eastAsia="zh-CN"/>
        </w:rPr>
        <w:t>100%</w:t>
      </w:r>
      <w:r>
        <w:rPr>
          <w:rStyle w:val="17"/>
          <w:rFonts w:hint="eastAsia" w:ascii="Times New Roman" w:hAnsi="Times New Roman" w:eastAsia="仿宋_GB2312"/>
          <w:b w:val="0"/>
          <w:bCs w:val="0"/>
          <w:color w:val="auto"/>
          <w:sz w:val="32"/>
          <w:szCs w:val="32"/>
          <w:highlight w:val="none"/>
          <w:lang w:val="en-US" w:eastAsia="zh-CN"/>
        </w:rPr>
        <w:t>。</w:t>
      </w:r>
    </w:p>
    <w:p>
      <w:pPr>
        <w:pStyle w:val="2"/>
        <w:ind w:left="0" w:leftChars="0" w:firstLine="640" w:firstLineChars="200"/>
        <w:rPr>
          <w:rStyle w:val="17"/>
          <w:rFonts w:hint="eastAsia" w:ascii="Times New Roman" w:hAnsi="Times New Roman" w:eastAsia="仿宋_GB2312"/>
          <w:b w:val="0"/>
          <w:bCs w:val="0"/>
          <w:color w:val="000000"/>
          <w:sz w:val="32"/>
          <w:szCs w:val="32"/>
        </w:rPr>
      </w:pPr>
      <w:r>
        <w:rPr>
          <w:rStyle w:val="17"/>
          <w:rFonts w:hint="eastAsia" w:ascii="Times New Roman" w:hAnsi="Times New Roman"/>
          <w:b w:val="0"/>
          <w:bCs w:val="0"/>
          <w:color w:val="auto"/>
          <w:sz w:val="32"/>
          <w:szCs w:val="32"/>
          <w:highlight w:val="none"/>
          <w:lang w:val="en-US" w:eastAsia="zh-CN"/>
        </w:rPr>
        <w:t>6</w:t>
      </w:r>
      <w:r>
        <w:rPr>
          <w:rStyle w:val="17"/>
          <w:rFonts w:hint="eastAsia" w:ascii="Times New Roman" w:hAnsi="Times New Roman" w:eastAsia="仿宋_GB2312"/>
          <w:b w:val="0"/>
          <w:bCs w:val="0"/>
          <w:color w:val="auto"/>
          <w:sz w:val="32"/>
          <w:szCs w:val="32"/>
          <w:highlight w:val="none"/>
          <w:lang w:val="en-US" w:eastAsia="zh-CN"/>
        </w:rPr>
        <w:t>.</w:t>
      </w:r>
      <w:r>
        <w:rPr>
          <w:rStyle w:val="17"/>
          <w:rFonts w:hint="eastAsia" w:ascii="Times New Roman" w:hAnsi="Times New Roman" w:eastAsia="仿宋_GB2312"/>
          <w:b w:val="0"/>
          <w:bCs w:val="0"/>
          <w:color w:val="auto"/>
          <w:sz w:val="32"/>
          <w:szCs w:val="32"/>
          <w:highlight w:val="none"/>
          <w:lang w:eastAsia="zh-CN"/>
        </w:rPr>
        <w:t>农林水支出</w:t>
      </w:r>
      <w:r>
        <w:rPr>
          <w:rStyle w:val="17"/>
          <w:rFonts w:hint="eastAsia" w:ascii="Times New Roman" w:hAnsi="Times New Roman" w:eastAsia="仿宋_GB2312"/>
          <w:b w:val="0"/>
          <w:bCs w:val="0"/>
          <w:color w:val="auto"/>
          <w:sz w:val="32"/>
          <w:szCs w:val="32"/>
          <w:highlight w:val="none"/>
        </w:rPr>
        <w:t>（类）</w:t>
      </w:r>
      <w:r>
        <w:rPr>
          <w:rStyle w:val="17"/>
          <w:rFonts w:hint="eastAsia" w:ascii="Times New Roman" w:hAnsi="Times New Roman" w:eastAsia="仿宋_GB2312"/>
          <w:b w:val="0"/>
          <w:bCs w:val="0"/>
          <w:color w:val="auto"/>
          <w:sz w:val="32"/>
          <w:szCs w:val="32"/>
          <w:highlight w:val="none"/>
          <w:lang w:eastAsia="zh-CN"/>
        </w:rPr>
        <w:t>农业农村</w:t>
      </w:r>
      <w:r>
        <w:rPr>
          <w:rStyle w:val="17"/>
          <w:rFonts w:hint="eastAsia" w:ascii="Times New Roman" w:hAnsi="Times New Roman" w:eastAsia="仿宋_GB2312"/>
          <w:b w:val="0"/>
          <w:bCs w:val="0"/>
          <w:color w:val="auto"/>
          <w:sz w:val="32"/>
          <w:szCs w:val="32"/>
          <w:highlight w:val="none"/>
        </w:rPr>
        <w:t>（款）</w:t>
      </w:r>
      <w:r>
        <w:rPr>
          <w:rStyle w:val="17"/>
          <w:rFonts w:hint="eastAsia" w:ascii="Times New Roman" w:hAnsi="Times New Roman" w:eastAsia="仿宋_GB2312"/>
          <w:b w:val="0"/>
          <w:bCs w:val="0"/>
          <w:color w:val="auto"/>
          <w:sz w:val="32"/>
          <w:szCs w:val="32"/>
          <w:highlight w:val="none"/>
          <w:lang w:eastAsia="zh-CN"/>
        </w:rPr>
        <w:t>事业运行</w:t>
      </w:r>
      <w:r>
        <w:rPr>
          <w:rStyle w:val="17"/>
          <w:rFonts w:hint="eastAsia" w:ascii="Times New Roman" w:hAnsi="Times New Roman" w:eastAsia="仿宋_GB2312"/>
          <w:b w:val="0"/>
          <w:bCs w:val="0"/>
          <w:color w:val="auto"/>
          <w:sz w:val="32"/>
          <w:szCs w:val="32"/>
          <w:highlight w:val="none"/>
        </w:rPr>
        <w:t>（项）</w:t>
      </w:r>
      <w:r>
        <w:rPr>
          <w:rStyle w:val="17"/>
          <w:rFonts w:ascii="Times New Roman" w:hAnsi="Times New Roman" w:eastAsia="仿宋_GB2312"/>
          <w:b w:val="0"/>
          <w:bCs w:val="0"/>
          <w:color w:val="auto"/>
          <w:sz w:val="32"/>
          <w:szCs w:val="32"/>
          <w:highlight w:val="none"/>
        </w:rPr>
        <w:t>:</w:t>
      </w:r>
      <w:r>
        <w:rPr>
          <w:rStyle w:val="17"/>
          <w:rFonts w:hint="eastAsia" w:ascii="Times New Roman" w:hAnsi="Times New Roman" w:eastAsia="仿宋_GB2312"/>
          <w:b w:val="0"/>
          <w:bCs w:val="0"/>
          <w:color w:val="000000"/>
          <w:sz w:val="32"/>
          <w:szCs w:val="32"/>
        </w:rPr>
        <w:t>支出决算为</w:t>
      </w:r>
      <w:r>
        <w:rPr>
          <w:rStyle w:val="17"/>
          <w:rFonts w:hint="eastAsia" w:ascii="Times New Roman" w:hAnsi="Times New Roman"/>
          <w:b w:val="0"/>
          <w:bCs w:val="0"/>
          <w:color w:val="000000"/>
          <w:sz w:val="32"/>
          <w:szCs w:val="32"/>
          <w:lang w:val="en-US" w:eastAsia="zh-CN"/>
        </w:rPr>
        <w:t>244.79</w:t>
      </w:r>
      <w:r>
        <w:rPr>
          <w:rStyle w:val="17"/>
          <w:rFonts w:hint="eastAsia" w:ascii="Times New Roman" w:hAnsi="Times New Roman" w:eastAsia="仿宋_GB2312"/>
          <w:b w:val="0"/>
          <w:bCs w:val="0"/>
          <w:color w:val="000000"/>
          <w:sz w:val="32"/>
          <w:szCs w:val="32"/>
        </w:rPr>
        <w:t>万元，完成预算</w:t>
      </w:r>
      <w:r>
        <w:rPr>
          <w:rStyle w:val="17"/>
          <w:rFonts w:hint="eastAsia" w:ascii="Times New Roman"/>
          <w:b w:val="0"/>
          <w:bCs w:val="0"/>
          <w:color w:val="000000"/>
          <w:sz w:val="32"/>
          <w:szCs w:val="32"/>
          <w:lang w:val="en-US" w:eastAsia="zh-CN"/>
        </w:rPr>
        <w:t>100%</w:t>
      </w:r>
      <w:r>
        <w:rPr>
          <w:rStyle w:val="17"/>
          <w:rFonts w:hint="eastAsia" w:ascii="Times New Roman" w:hAnsi="Times New Roman" w:eastAsia="仿宋_GB2312"/>
          <w:b w:val="0"/>
          <w:bCs w:val="0"/>
          <w:color w:val="000000"/>
          <w:sz w:val="32"/>
          <w:szCs w:val="32"/>
        </w:rPr>
        <w:t>。</w:t>
      </w:r>
    </w:p>
    <w:p>
      <w:pPr>
        <w:spacing w:line="600" w:lineRule="exact"/>
        <w:ind w:firstLine="640" w:firstLineChars="200"/>
        <w:rPr>
          <w:rStyle w:val="17"/>
          <w:rFonts w:hint="default" w:ascii="Times New Roman" w:hAnsi="Times New Roman" w:eastAsia="仿宋_GB2312"/>
          <w:b w:val="0"/>
          <w:bCs w:val="0"/>
          <w:color w:val="000000"/>
          <w:sz w:val="32"/>
          <w:szCs w:val="32"/>
          <w:lang w:val="en-US"/>
        </w:rPr>
      </w:pPr>
      <w:r>
        <w:rPr>
          <w:rFonts w:hint="eastAsia" w:ascii="Times New Roman" w:hAnsi="Times New Roman" w:eastAsia="仿宋_GB2312"/>
          <w:b w:val="0"/>
          <w:bCs w:val="0"/>
          <w:color w:val="000000"/>
          <w:sz w:val="32"/>
          <w:szCs w:val="32"/>
          <w:lang w:val="en-US" w:eastAsia="zh-CN"/>
        </w:rPr>
        <w:t>7.</w:t>
      </w:r>
      <w:r>
        <w:rPr>
          <w:rStyle w:val="17"/>
          <w:rFonts w:hint="eastAsia" w:ascii="Times New Roman" w:hAnsi="Times New Roman" w:eastAsia="仿宋_GB2312"/>
          <w:b w:val="0"/>
          <w:bCs w:val="0"/>
          <w:color w:val="auto"/>
          <w:sz w:val="32"/>
          <w:szCs w:val="32"/>
          <w:highlight w:val="none"/>
          <w:lang w:val="en-US" w:eastAsia="zh-CN"/>
        </w:rPr>
        <w:t>农林水支出（类）农业农村（款）农产品质量安全（项）：支出预算为47.06万元，完成预算</w:t>
      </w:r>
      <w:r>
        <w:rPr>
          <w:rStyle w:val="17"/>
          <w:rFonts w:hint="eastAsia" w:eastAsia="仿宋_GB2312"/>
          <w:b w:val="0"/>
          <w:bCs w:val="0"/>
          <w:color w:val="auto"/>
          <w:sz w:val="32"/>
          <w:szCs w:val="32"/>
          <w:highlight w:val="none"/>
          <w:lang w:val="en-US" w:eastAsia="zh-CN"/>
        </w:rPr>
        <w:t>100%</w:t>
      </w:r>
    </w:p>
    <w:p>
      <w:pPr>
        <w:spacing w:line="600" w:lineRule="exact"/>
        <w:ind w:firstLine="640" w:firstLineChars="200"/>
        <w:rPr>
          <w:rFonts w:hint="eastAsia" w:ascii="Times New Roman" w:hAnsi="Times New Roman" w:eastAsia="仿宋_GB2312"/>
          <w:b w:val="0"/>
          <w:bCs w:val="0"/>
          <w:color w:val="000000"/>
          <w:sz w:val="32"/>
          <w:szCs w:val="32"/>
          <w:lang w:val="en-US" w:eastAsia="zh-CN"/>
        </w:rPr>
      </w:pPr>
      <w:r>
        <w:rPr>
          <w:rFonts w:hint="eastAsia" w:ascii="Times New Roman" w:hAnsi="Times New Roman" w:eastAsia="仿宋_GB2312"/>
          <w:b w:val="0"/>
          <w:bCs w:val="0"/>
          <w:color w:val="000000"/>
          <w:sz w:val="32"/>
          <w:szCs w:val="32"/>
          <w:lang w:val="en-US" w:eastAsia="zh-CN"/>
        </w:rPr>
        <w:t>8.</w:t>
      </w:r>
      <w:r>
        <w:rPr>
          <w:rStyle w:val="17"/>
          <w:rFonts w:hint="eastAsia" w:ascii="Times New Roman" w:hAnsi="Times New Roman" w:eastAsia="仿宋_GB2312"/>
          <w:b w:val="0"/>
          <w:bCs w:val="0"/>
          <w:color w:val="auto"/>
          <w:sz w:val="32"/>
          <w:szCs w:val="32"/>
          <w:highlight w:val="none"/>
          <w:lang w:val="en-US" w:eastAsia="zh-CN"/>
        </w:rPr>
        <w:t>农林水支出（类）农业农村（款）其他农业农村支出（项）:</w:t>
      </w:r>
      <w:r>
        <w:rPr>
          <w:rStyle w:val="17"/>
          <w:rFonts w:hint="eastAsia" w:ascii="Times New Roman" w:hAnsi="Times New Roman" w:eastAsia="仿宋_GB2312"/>
          <w:b w:val="0"/>
          <w:bCs w:val="0"/>
          <w:color w:val="000000"/>
          <w:sz w:val="32"/>
          <w:szCs w:val="32"/>
        </w:rPr>
        <w:t>支出决算为</w:t>
      </w:r>
      <w:r>
        <w:rPr>
          <w:rStyle w:val="17"/>
          <w:rFonts w:hint="eastAsia" w:ascii="Times New Roman" w:hAnsi="Times New Roman" w:eastAsia="仿宋_GB2312"/>
          <w:b w:val="0"/>
          <w:bCs w:val="0"/>
          <w:color w:val="000000"/>
          <w:sz w:val="32"/>
          <w:szCs w:val="32"/>
          <w:lang w:val="en-US" w:eastAsia="zh-CN"/>
        </w:rPr>
        <w:t>41.98</w:t>
      </w:r>
      <w:r>
        <w:rPr>
          <w:rStyle w:val="17"/>
          <w:rFonts w:hint="eastAsia" w:ascii="Times New Roman" w:hAnsi="Times New Roman" w:eastAsia="仿宋_GB2312"/>
          <w:b w:val="0"/>
          <w:bCs w:val="0"/>
          <w:color w:val="000000"/>
          <w:sz w:val="32"/>
          <w:szCs w:val="32"/>
        </w:rPr>
        <w:t>万元，完成预算</w:t>
      </w:r>
      <w:r>
        <w:rPr>
          <w:rStyle w:val="17"/>
          <w:rFonts w:hint="eastAsia" w:eastAsia="仿宋_GB2312"/>
          <w:b w:val="0"/>
          <w:bCs w:val="0"/>
          <w:color w:val="000000"/>
          <w:sz w:val="32"/>
          <w:szCs w:val="32"/>
          <w:lang w:val="en-US" w:eastAsia="zh-CN"/>
        </w:rPr>
        <w:t>100%</w:t>
      </w:r>
      <w:r>
        <w:rPr>
          <w:rStyle w:val="17"/>
          <w:rFonts w:hint="eastAsia" w:ascii="Times New Roman" w:hAnsi="Times New Roman" w:eastAsia="仿宋_GB2312"/>
          <w:b w:val="0"/>
          <w:bCs w:val="0"/>
          <w:color w:val="000000"/>
          <w:sz w:val="32"/>
          <w:szCs w:val="32"/>
        </w:rPr>
        <w:t>。</w:t>
      </w:r>
    </w:p>
    <w:p>
      <w:pPr>
        <w:spacing w:line="600" w:lineRule="exact"/>
        <w:ind w:firstLine="640" w:firstLineChars="200"/>
        <w:rPr>
          <w:rStyle w:val="17"/>
          <w:rFonts w:hint="eastAsia" w:ascii="Times New Roman" w:hAnsi="Times New Roman" w:eastAsia="仿宋_GB2312"/>
          <w:b w:val="0"/>
          <w:bCs w:val="0"/>
          <w:color w:val="000000"/>
          <w:sz w:val="32"/>
          <w:szCs w:val="32"/>
          <w:lang w:val="en-US" w:eastAsia="zh-CN"/>
        </w:rPr>
      </w:pPr>
      <w:r>
        <w:rPr>
          <w:rFonts w:hint="eastAsia" w:ascii="Times New Roman" w:hAnsi="Times New Roman" w:eastAsia="仿宋_GB2312"/>
          <w:b w:val="0"/>
          <w:bCs w:val="0"/>
          <w:color w:val="000000"/>
          <w:sz w:val="32"/>
          <w:szCs w:val="32"/>
          <w:lang w:val="en-US" w:eastAsia="zh-CN"/>
        </w:rPr>
        <w:t>9.</w:t>
      </w:r>
      <w:r>
        <w:rPr>
          <w:rFonts w:hint="eastAsia" w:ascii="Times New Roman" w:hAnsi="Times New Roman" w:eastAsia="仿宋_GB2312"/>
          <w:b w:val="0"/>
          <w:bCs w:val="0"/>
          <w:color w:val="000000"/>
          <w:sz w:val="32"/>
          <w:szCs w:val="32"/>
          <w:lang w:eastAsia="zh-CN"/>
        </w:rPr>
        <w:t>住房保障支出</w:t>
      </w:r>
      <w:r>
        <w:rPr>
          <w:rStyle w:val="17"/>
          <w:rFonts w:hint="eastAsia" w:ascii="Times New Roman" w:hAnsi="Times New Roman" w:eastAsia="仿宋_GB2312"/>
          <w:b w:val="0"/>
          <w:bCs w:val="0"/>
          <w:color w:val="000000"/>
          <w:sz w:val="32"/>
          <w:szCs w:val="32"/>
        </w:rPr>
        <w:t>（类）</w:t>
      </w:r>
      <w:r>
        <w:rPr>
          <w:rStyle w:val="17"/>
          <w:rFonts w:hint="eastAsia" w:ascii="Times New Roman" w:hAnsi="Times New Roman" w:eastAsia="仿宋_GB2312"/>
          <w:b w:val="0"/>
          <w:bCs w:val="0"/>
          <w:color w:val="000000"/>
          <w:sz w:val="32"/>
          <w:szCs w:val="32"/>
          <w:lang w:eastAsia="zh-CN"/>
        </w:rPr>
        <w:t>住房改革支出</w:t>
      </w:r>
      <w:r>
        <w:rPr>
          <w:rStyle w:val="17"/>
          <w:rFonts w:hint="eastAsia" w:ascii="Times New Roman" w:hAnsi="Times New Roman" w:eastAsia="仿宋_GB2312"/>
          <w:b w:val="0"/>
          <w:bCs w:val="0"/>
          <w:color w:val="000000"/>
          <w:sz w:val="32"/>
          <w:szCs w:val="32"/>
        </w:rPr>
        <w:t>（款）</w:t>
      </w:r>
      <w:r>
        <w:rPr>
          <w:rStyle w:val="17"/>
          <w:rFonts w:hint="eastAsia" w:ascii="Times New Roman" w:hAnsi="Times New Roman" w:eastAsia="仿宋_GB2312"/>
          <w:b w:val="0"/>
          <w:bCs w:val="0"/>
          <w:color w:val="000000"/>
          <w:sz w:val="32"/>
          <w:szCs w:val="32"/>
          <w:lang w:eastAsia="zh-CN"/>
        </w:rPr>
        <w:t>住房公积金</w:t>
      </w:r>
      <w:r>
        <w:rPr>
          <w:rStyle w:val="17"/>
          <w:rFonts w:hint="eastAsia" w:ascii="Times New Roman" w:hAnsi="Times New Roman" w:eastAsia="仿宋_GB2312"/>
          <w:b w:val="0"/>
          <w:bCs w:val="0"/>
          <w:color w:val="000000"/>
          <w:sz w:val="32"/>
          <w:szCs w:val="32"/>
        </w:rPr>
        <w:t>（项）</w:t>
      </w:r>
      <w:r>
        <w:rPr>
          <w:rStyle w:val="17"/>
          <w:rFonts w:ascii="Times New Roman" w:hAnsi="Times New Roman" w:eastAsia="仿宋_GB2312"/>
          <w:b w:val="0"/>
          <w:bCs w:val="0"/>
          <w:color w:val="000000"/>
          <w:sz w:val="32"/>
          <w:szCs w:val="32"/>
        </w:rPr>
        <w:t>:</w:t>
      </w:r>
      <w:r>
        <w:rPr>
          <w:rStyle w:val="17"/>
          <w:rFonts w:hint="eastAsia" w:ascii="Times New Roman" w:hAnsi="Times New Roman" w:eastAsia="仿宋_GB2312"/>
          <w:b w:val="0"/>
          <w:bCs w:val="0"/>
          <w:color w:val="000000"/>
          <w:sz w:val="32"/>
          <w:szCs w:val="32"/>
        </w:rPr>
        <w:t>支出决算为</w:t>
      </w:r>
      <w:r>
        <w:rPr>
          <w:rStyle w:val="17"/>
          <w:rFonts w:hint="eastAsia" w:ascii="Times New Roman" w:hAnsi="Times New Roman" w:eastAsia="仿宋_GB2312"/>
          <w:b w:val="0"/>
          <w:bCs w:val="0"/>
          <w:color w:val="000000"/>
          <w:sz w:val="32"/>
          <w:szCs w:val="32"/>
          <w:lang w:val="en-US" w:eastAsia="zh-CN"/>
        </w:rPr>
        <w:t>22.65</w:t>
      </w:r>
      <w:r>
        <w:rPr>
          <w:rStyle w:val="17"/>
          <w:rFonts w:hint="eastAsia" w:ascii="Times New Roman" w:hAnsi="Times New Roman" w:eastAsia="仿宋_GB2312"/>
          <w:b w:val="0"/>
          <w:bCs w:val="0"/>
          <w:color w:val="000000"/>
          <w:sz w:val="32"/>
          <w:szCs w:val="32"/>
        </w:rPr>
        <w:t>万元，完成预算</w:t>
      </w:r>
      <w:r>
        <w:rPr>
          <w:rStyle w:val="17"/>
          <w:rFonts w:hint="eastAsia" w:eastAsia="仿宋_GB2312"/>
          <w:b w:val="0"/>
          <w:bCs w:val="0"/>
          <w:color w:val="000000"/>
          <w:sz w:val="32"/>
          <w:szCs w:val="32"/>
          <w:lang w:val="en-US" w:eastAsia="zh-CN"/>
        </w:rPr>
        <w:t>100%</w:t>
      </w:r>
      <w:r>
        <w:rPr>
          <w:rStyle w:val="17"/>
          <w:rFonts w:hint="eastAsia" w:ascii="Times New Roman" w:hAnsi="Times New Roman" w:eastAsia="仿宋_GB2312"/>
          <w:b w:val="0"/>
          <w:bCs w:val="0"/>
          <w:color w:val="000000"/>
          <w:sz w:val="32"/>
          <w:szCs w:val="32"/>
        </w:rPr>
        <w:t>。</w:t>
      </w:r>
    </w:p>
    <w:p>
      <w:pPr>
        <w:tabs>
          <w:tab w:val="right" w:pos="8306"/>
        </w:tabs>
        <w:spacing w:line="600" w:lineRule="exact"/>
        <w:ind w:firstLine="640"/>
        <w:outlineLvl w:val="1"/>
        <w:rPr>
          <w:rStyle w:val="29"/>
          <w:rFonts w:ascii="Times New Roman" w:hAnsi="Times New Roman"/>
          <w:color w:val="auto"/>
          <w:highlight w:val="none"/>
        </w:rPr>
      </w:pPr>
      <w:bookmarkStart w:id="38" w:name="_Toc15396608"/>
      <w:bookmarkStart w:id="39" w:name="_Toc15377214"/>
      <w:bookmarkStart w:id="40" w:name="_Toc17607_WPSOffice_Level2"/>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8"/>
      <w:bookmarkEnd w:id="39"/>
      <w:bookmarkEnd w:id="40"/>
      <w:r>
        <w:rPr>
          <w:rStyle w:val="29"/>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2025年度一般公共预算财政拨款基本支出</w:t>
      </w:r>
      <w:r>
        <w:rPr>
          <w:rFonts w:hint="eastAsia" w:ascii="Times New Roman" w:hAnsi="Times New Roman" w:eastAsia="仿宋_GB2312" w:cs="仿宋_GB2312"/>
          <w:sz w:val="32"/>
          <w:szCs w:val="32"/>
        </w:rPr>
        <w:t>319.91</w:t>
      </w:r>
      <w:r>
        <w:rPr>
          <w:rFonts w:hint="eastAsia" w:ascii="Times New Roman" w:hAnsi="Times New Roman" w:eastAsia="仿宋_GB2312" w:cs="仿宋_GB2312"/>
          <w:color w:val="auto"/>
          <w:kern w:val="2"/>
          <w:sz w:val="32"/>
          <w:szCs w:val="32"/>
          <w:highlight w:val="none"/>
          <w:lang w:val="en-US" w:eastAsia="zh-CN" w:bidi="ar-SA"/>
        </w:rPr>
        <w:t>万元，其中：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Times New Roman" w:hAnsi="Times New Roman" w:eastAsia="仿宋_GB2312" w:cs="仿宋_GB2312"/>
          <w:sz w:val="32"/>
          <w:szCs w:val="32"/>
        </w:rPr>
        <w:t>298.5</w:t>
      </w:r>
      <w:r>
        <w:rPr>
          <w:rFonts w:hint="eastAsia" w:ascii="Times New Roman" w:hAnsi="Times New Roman" w:eastAsia="仿宋_GB2312" w:cs="仿宋_GB2312"/>
          <w:color w:val="auto"/>
          <w:kern w:val="2"/>
          <w:sz w:val="32"/>
          <w:szCs w:val="32"/>
          <w:highlight w:val="none"/>
          <w:lang w:val="en-US" w:eastAsia="zh-CN" w:bidi="ar-SA"/>
        </w:rPr>
        <w:t>万元，主要包括：基本工资、津贴补贴、奖金、绩效工资、机关事业单位基本养老保险缴费、职工基本医疗保险缴费、其他社会保障缴费、公务员医疗补助缴费、其他工资福利支出、生活补助、医疗费补助、奖励金、其他对个人和家庭的补助、住房公积金。</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Times New Roman" w:hAnsi="Times New Roman" w:eastAsia="仿宋_GB2312" w:cs="仿宋_GB2312"/>
          <w:sz w:val="32"/>
          <w:szCs w:val="32"/>
        </w:rPr>
        <w:t>21.41</w:t>
      </w:r>
      <w:r>
        <w:rPr>
          <w:rFonts w:hint="eastAsia" w:ascii="Times New Roman" w:hAnsi="Times New Roman" w:eastAsia="仿宋_GB2312" w:cs="仿宋_GB2312"/>
          <w:color w:val="auto"/>
          <w:kern w:val="2"/>
          <w:sz w:val="32"/>
          <w:szCs w:val="32"/>
          <w:highlight w:val="none"/>
          <w:lang w:val="en-US" w:eastAsia="zh-CN" w:bidi="ar-SA"/>
        </w:rPr>
        <w:t>万元，主要包括：办公费、水费、电费、邮电费、物业管理费、差旅费、公务接待费、工会经费、福利费、公务用车运行维护费、其他交通费、其他商品和服务支出。</w:t>
      </w:r>
    </w:p>
    <w:p>
      <w:pPr>
        <w:spacing w:line="600" w:lineRule="exact"/>
        <w:ind w:firstLine="640"/>
        <w:outlineLvl w:val="1"/>
        <w:rPr>
          <w:rStyle w:val="29"/>
          <w:rFonts w:ascii="Times New Roman" w:hAnsi="Times New Roman" w:eastAsia="黑体"/>
          <w:b w:val="0"/>
          <w:color w:val="auto"/>
          <w:highlight w:val="none"/>
        </w:rPr>
      </w:pPr>
      <w:bookmarkStart w:id="41" w:name="_Toc15377215"/>
      <w:bookmarkStart w:id="42" w:name="_Toc10823_WPSOffice_Level2"/>
      <w:bookmarkStart w:id="43" w:name="_Toc15396609"/>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41"/>
      <w:bookmarkEnd w:id="42"/>
      <w:bookmarkEnd w:id="4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4"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44"/>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2025年度财政拨款“三公”经费支出决算为</w:t>
      </w:r>
      <w:r>
        <w:rPr>
          <w:rFonts w:hint="eastAsia" w:ascii="Times New Roman" w:hAnsi="Times New Roman" w:eastAsia="仿宋_GB2312" w:cs="仿宋_GB2312"/>
          <w:sz w:val="32"/>
          <w:szCs w:val="32"/>
        </w:rPr>
        <w:t>2.83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ascii="Times New Roman" w:hAnsi="Times New Roman" w:eastAsia="仿宋_GB2312" w:cs="仿宋_GB2312"/>
          <w:sz w:val="32"/>
          <w:szCs w:val="32"/>
        </w:rPr>
        <w:t>100</w:t>
      </w:r>
      <w:r>
        <w:rPr>
          <w:rFonts w:hint="eastAsia" w:ascii="Times New Roman" w:hAnsi="Times New Roman" w:eastAsia="仿宋_GB2312" w:cs="仿宋_GB2312"/>
          <w:color w:val="auto"/>
          <w:kern w:val="2"/>
          <w:sz w:val="32"/>
          <w:szCs w:val="32"/>
          <w:highlight w:val="none"/>
          <w:lang w:val="en-US" w:eastAsia="zh-CN" w:bidi="ar-SA"/>
        </w:rPr>
        <w:t>%，较上年度减少0.06万元，下降2.1%。决算数与预算数持平。</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5"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4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2025年度财政拨款“三公”经费支出决算中，因公出国（境）费支出决算</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万元，占0%；公务用车购置及运行维护费支出决算</w:t>
      </w:r>
      <w:r>
        <w:rPr>
          <w:rFonts w:hint="eastAsia" w:ascii="Times New Roman" w:hAnsi="Times New Roman" w:eastAsia="仿宋_GB2312" w:cs="仿宋_GB2312"/>
          <w:sz w:val="32"/>
          <w:szCs w:val="32"/>
        </w:rPr>
        <w:t>2.76</w:t>
      </w:r>
      <w:r>
        <w:rPr>
          <w:rFonts w:hint="eastAsia" w:ascii="Times New Roman" w:hAnsi="Times New Roman" w:eastAsia="仿宋_GB2312" w:cs="仿宋_GB2312"/>
          <w:color w:val="auto"/>
          <w:kern w:val="2"/>
          <w:sz w:val="32"/>
          <w:szCs w:val="32"/>
          <w:highlight w:val="none"/>
          <w:lang w:val="en-US" w:eastAsia="zh-CN" w:bidi="ar-SA"/>
        </w:rPr>
        <w:t>万元，占97.5%；公务接待费支出决算</w:t>
      </w:r>
      <w:r>
        <w:rPr>
          <w:rFonts w:hint="eastAsia" w:ascii="Times New Roman" w:hAnsi="Times New Roman" w:eastAsia="仿宋_GB2312" w:cs="仿宋_GB2312"/>
          <w:sz w:val="32"/>
          <w:szCs w:val="32"/>
        </w:rPr>
        <w:t>0.07</w:t>
      </w:r>
      <w:r>
        <w:rPr>
          <w:rFonts w:hint="eastAsia" w:ascii="Times New Roman" w:hAnsi="Times New Roman" w:eastAsia="仿宋_GB2312" w:cs="仿宋_GB2312"/>
          <w:color w:val="auto"/>
          <w:kern w:val="2"/>
          <w:sz w:val="32"/>
          <w:szCs w:val="32"/>
          <w:highlight w:val="none"/>
          <w:lang w:val="en-US" w:eastAsia="zh-CN" w:bidi="ar-SA"/>
        </w:rPr>
        <w:t>万元，占2.5%。具体情况如下：</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（图7：财政拨款“三公”经费支出结构）（饼状图）</w:t>
      </w:r>
    </w:p>
    <w:p>
      <w:pPr>
        <w:pStyle w:val="2"/>
        <w:jc w:val="center"/>
        <w:rPr>
          <w:rFonts w:hint="eastAsia" w:ascii="Times New Roman" w:hAnsi="Times New Roman" w:eastAsia="仿宋_GB2312" w:cs="仿宋_GB2312"/>
          <w:color w:val="auto"/>
          <w:kern w:val="2"/>
          <w:sz w:val="32"/>
          <w:szCs w:val="32"/>
          <w:highlight w:val="none"/>
          <w:lang w:val="en-US" w:eastAsia="zh-CN" w:bidi="ar-SA"/>
        </w:rPr>
      </w:pPr>
      <w:r>
        <w:rPr>
          <w:rFonts w:ascii="Times New Roman" w:hAnsi="Times New Roman"/>
        </w:rPr>
        <w:drawing>
          <wp:inline distT="0" distB="0" distL="114300" distR="114300">
            <wp:extent cx="4166235" cy="2242185"/>
            <wp:effectExtent l="4445" t="5080" r="20320" b="19685"/>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ascii="Times New Roman" w:hAnsi="Times New Roman" w:eastAsia="仿宋_GB2312" w:cs="仿宋_GB2312"/>
          <w:sz w:val="32"/>
          <w:szCs w:val="32"/>
        </w:rPr>
        <w:t>0</w:t>
      </w:r>
      <w:r>
        <w:rPr>
          <w:rFonts w:hint="eastAsia" w:ascii="Times New Roman" w:hAnsi="Times New Roman" w:eastAsia="仿宋_GB2312" w:cs="仿宋_GB2312"/>
          <w:b/>
          <w:bCs/>
          <w:color w:val="auto"/>
          <w:kern w:val="2"/>
          <w:sz w:val="32"/>
          <w:szCs w:val="32"/>
          <w:highlight w:val="none"/>
          <w:lang w:val="en-US" w:eastAsia="zh-CN" w:bidi="ar-SA"/>
        </w:rPr>
        <w:t>万元，完成预算0%。</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2.公务用车购置及运行维护费支出2.76万元，完成预算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公务用车购置及运行维护费支出决算比上年度增加0.19万元，增长7.4%。主要原因是燃料费用上涨。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万元。全年按规定更新购置公务用车0辆，其中：轿车0辆、金额0万元，越野车0辆、金额0万元，载客汽车0辆、金额0万元。截至2025年12月31日，单位共有公务用车1辆，其中：轿车0辆、越野车1辆、载客汽车0辆。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ascii="Times New Roman" w:hAnsi="Times New Roman" w:eastAsia="仿宋_GB2312" w:cs="仿宋_GB2312"/>
          <w:sz w:val="32"/>
          <w:szCs w:val="32"/>
        </w:rPr>
        <w:t>2.76</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Times New Roman" w:hAnsi="Times New Roman" w:eastAsia="仿宋_GB2312"/>
          <w:color w:val="auto"/>
          <w:sz w:val="32"/>
          <w:szCs w:val="32"/>
          <w:highlight w:val="none"/>
          <w:lang w:eastAsia="zh-CN"/>
        </w:rPr>
        <w:t>开展省、市两级农产品质量安全监测抽样、调研</w:t>
      </w:r>
      <w:r>
        <w:rPr>
          <w:rFonts w:hint="eastAsia" w:ascii="Times New Roman" w:hAnsi="Times New Roman" w:eastAsia="仿宋_GB2312"/>
          <w:sz w:val="32"/>
          <w:szCs w:val="32"/>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3.公务接待费支出0.07万元，完成预算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公务接待费支出决算比上年度减少0.25万元，下降78.1%。主要原因是公务接待频次减少。其中：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ascii="Times New Roman" w:hAnsi="Times New Roman" w:eastAsia="仿宋_GB2312" w:cs="仿宋_GB2312"/>
          <w:sz w:val="32"/>
          <w:szCs w:val="32"/>
        </w:rPr>
        <w:t>0.07</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Times New Roman" w:hAnsi="Times New Roman" w:eastAsia="仿宋_GB2312"/>
          <w:color w:val="000000"/>
          <w:sz w:val="32"/>
          <w:szCs w:val="32"/>
          <w:lang w:eastAsia="zh-CN"/>
        </w:rPr>
        <w:t>省级风险监测交叉抽样其他地市州来攀抽样</w:t>
      </w:r>
      <w:r>
        <w:rPr>
          <w:rFonts w:hint="eastAsia" w:ascii="Times New Roman" w:hAnsi="Times New Roman" w:eastAsia="仿宋_GB2312"/>
          <w:sz w:val="32"/>
          <w:szCs w:val="32"/>
        </w:rPr>
        <w:t>用餐费</w:t>
      </w:r>
      <w:r>
        <w:rPr>
          <w:rFonts w:hint="eastAsia" w:ascii="Times New Roman" w:hAnsi="Times New Roman" w:eastAsia="仿宋_GB2312" w:cs="仿宋_GB2312"/>
          <w:color w:val="auto"/>
          <w:kern w:val="2"/>
          <w:sz w:val="32"/>
          <w:szCs w:val="32"/>
          <w:highlight w:val="none"/>
          <w:lang w:val="en-US" w:eastAsia="zh-CN" w:bidi="ar-SA"/>
        </w:rPr>
        <w:t>。国内公务接待</w:t>
      </w:r>
      <w:r>
        <w:rPr>
          <w:rFonts w:hint="eastAsia" w:ascii="Times New Roman" w:hAnsi="Times New Roman"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Times New Roman" w:hAnsi="Times New Roman" w:eastAsia="仿宋_GB2312" w:cs="仿宋_GB2312"/>
          <w:sz w:val="32"/>
          <w:szCs w:val="32"/>
        </w:rPr>
        <w:t>9</w:t>
      </w:r>
      <w:r>
        <w:rPr>
          <w:rFonts w:hint="eastAsia" w:ascii="Times New Roman" w:hAnsi="Times New Roman" w:eastAsia="仿宋_GB2312" w:cs="仿宋_GB2312"/>
          <w:color w:val="auto"/>
          <w:kern w:val="2"/>
          <w:sz w:val="32"/>
          <w:szCs w:val="32"/>
          <w:highlight w:val="none"/>
          <w:lang w:val="en-US" w:eastAsia="zh-CN" w:bidi="ar-SA"/>
        </w:rPr>
        <w:t>人次（不包括陪同人员），共计支出0.07万元，具体内容包括：眉山市农产品质量安全</w:t>
      </w:r>
      <w:r>
        <w:rPr>
          <w:rFonts w:hint="eastAsia" w:ascii="Times New Roman" w:hAnsi="Times New Roman" w:eastAsia="仿宋_GB2312"/>
          <w:sz w:val="32"/>
          <w:szCs w:val="32"/>
          <w:lang w:eastAsia="zh-CN"/>
        </w:rPr>
        <w:t>检测中心来攀开展省级农产品质量安全交叉抽样</w:t>
      </w:r>
      <w:r>
        <w:rPr>
          <w:rFonts w:hint="eastAsia" w:ascii="Times New Roman" w:hAnsi="Times New Roman" w:eastAsia="仿宋_GB2312"/>
          <w:sz w:val="32"/>
          <w:szCs w:val="32"/>
          <w:lang w:val="en-US" w:eastAsia="zh-CN"/>
        </w:rPr>
        <w:t>1次，共计0.07万元</w:t>
      </w:r>
      <w:r>
        <w:rPr>
          <w:rFonts w:hint="eastAsia" w:ascii="Times New Roman" w:hAnsi="Times New Roman" w:eastAsia="仿宋_GB2312"/>
          <w:sz w:val="32"/>
          <w:szCs w:val="32"/>
        </w:rPr>
        <w:t>。</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6" w:name="_Toc15396610"/>
      <w:bookmarkStart w:id="47" w:name="_Toc15377218"/>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万元。外事接待</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ascii="Times New Roman" w:hAnsi="Times New Roman"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pPr>
        <w:spacing w:line="600" w:lineRule="exact"/>
        <w:ind w:firstLine="640"/>
        <w:outlineLvl w:val="1"/>
        <w:rPr>
          <w:rStyle w:val="29"/>
          <w:rFonts w:ascii="Times New Roman" w:hAnsi="Times New Roman" w:eastAsia="黑体"/>
          <w:color w:val="auto"/>
          <w:highlight w:val="none"/>
        </w:rPr>
      </w:pPr>
      <w:bookmarkStart w:id="48" w:name="_Toc18389_WPSOffice_Level2"/>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6"/>
      <w:bookmarkEnd w:id="47"/>
      <w:bookmarkEnd w:id="4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2025年度政府性基金预算财政拨款支出</w:t>
      </w:r>
      <w:r>
        <w:rPr>
          <w:rFonts w:hint="eastAsia" w:ascii="Times New Roman" w:hAnsi="Times New Roman" w:eastAsia="仿宋_GB2312" w:cs="仿宋_GB2312"/>
          <w:sz w:val="32"/>
          <w:szCs w:val="32"/>
        </w:rPr>
        <w:t>4.61</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Times New Roman" w:hAnsi="Times New Roman" w:eastAsia="仿宋_GB2312" w:cs="仿宋_GB2312"/>
          <w:sz w:val="32"/>
          <w:szCs w:val="32"/>
        </w:rPr>
        <w:t>1.08</w:t>
      </w:r>
      <w:r>
        <w:rPr>
          <w:rFonts w:hint="eastAsia" w:ascii="Times New Roman" w:hAnsi="Times New Roman" w:eastAsia="仿宋_GB2312" w:cs="仿宋_GB2312"/>
          <w:color w:val="auto"/>
          <w:kern w:val="2"/>
          <w:sz w:val="32"/>
          <w:szCs w:val="32"/>
          <w:highlight w:val="none"/>
          <w:lang w:val="en-US" w:eastAsia="zh-CN" w:bidi="ar-SA"/>
        </w:rPr>
        <w:t>%。与上年度相比，政府性基金预算财政拨款支出减少5.39万元，下降53.9%。主要变动原因是2025年度市本级农产品质量安全项目仅部分由政府性基金预算</w:t>
      </w:r>
      <w:r>
        <w:rPr>
          <w:rFonts w:hint="eastAsia" w:ascii="Times New Roman" w:hAnsi="Times New Roman" w:cs="仿宋_GB2312"/>
          <w:color w:val="auto"/>
          <w:kern w:val="2"/>
          <w:sz w:val="32"/>
          <w:szCs w:val="32"/>
          <w:highlight w:val="none"/>
          <w:lang w:val="en-US" w:eastAsia="zh-CN" w:bidi="ar-SA"/>
        </w:rPr>
        <w:t>安排</w:t>
      </w:r>
      <w:r>
        <w:rPr>
          <w:rFonts w:hint="eastAsia" w:ascii="Times New Roman" w:hAnsi="Times New Roman" w:eastAsia="仿宋_GB2312" w:cs="仿宋_GB2312"/>
          <w:color w:val="auto"/>
          <w:kern w:val="2"/>
          <w:sz w:val="32"/>
          <w:szCs w:val="32"/>
          <w:highlight w:val="none"/>
          <w:lang w:val="en-US" w:eastAsia="zh-CN" w:bidi="ar-SA"/>
        </w:rPr>
        <w:t>支出。</w:t>
      </w:r>
    </w:p>
    <w:p>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49" w:name="_Toc26991_WPSOffice_Level2"/>
      <w:bookmarkStart w:id="50" w:name="_Toc15377219"/>
      <w:bookmarkStart w:id="51" w:name="_Toc15396611"/>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9"/>
      <w:bookmarkEnd w:id="50"/>
      <w:bookmarkEnd w:id="5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2025年度国有资本经营预算财政拨款支出</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52" w:name="_Toc15377221"/>
      <w:bookmarkStart w:id="53" w:name="_Toc15396612"/>
      <w:bookmarkStart w:id="54" w:name="_Toc10369_WPSOffice_Level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52"/>
      <w:bookmarkEnd w:id="53"/>
      <w:bookmarkEnd w:id="54"/>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5" w:name="_Toc15377222"/>
      <w:r>
        <w:rPr>
          <w:rFonts w:hint="eastAsia" w:ascii="Times New Roman" w:hAnsi="Times New Roman" w:eastAsia="楷体_GB2312" w:cs="楷体_GB2312"/>
          <w:b/>
          <w:color w:val="auto"/>
          <w:sz w:val="32"/>
          <w:szCs w:val="32"/>
          <w:highlight w:val="none"/>
        </w:rPr>
        <w:t>（一）机关运行经费支出情况</w:t>
      </w:r>
      <w:bookmarkEnd w:id="55"/>
    </w:p>
    <w:p>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sz w:val="32"/>
          <w:szCs w:val="32"/>
        </w:rPr>
        <w:t>攀西无公害农产品监测中心</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bookmarkStart w:id="56" w:name="_Toc15377223"/>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bookmarkEnd w:id="5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sz w:val="32"/>
          <w:szCs w:val="32"/>
        </w:rPr>
        <w:t>攀西无公害农产品监测中心</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ascii="Times New Roman" w:hAnsi="Times New Roman" w:eastAsia="仿宋_GB2312" w:cs="仿宋_GB2312"/>
          <w:sz w:val="32"/>
          <w:szCs w:val="32"/>
        </w:rPr>
        <w:t>2.9</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ascii="Times New Roman" w:hAnsi="Times New Roman" w:eastAsia="仿宋_GB2312" w:cs="仿宋_GB2312"/>
          <w:sz w:val="32"/>
          <w:szCs w:val="32"/>
        </w:rPr>
        <w:t>1.03</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ascii="Times New Roman" w:hAnsi="Times New Roman" w:eastAsia="仿宋_GB2312" w:cs="仿宋_GB2312"/>
          <w:sz w:val="32"/>
          <w:szCs w:val="32"/>
        </w:rPr>
        <w:t>1.87</w:t>
      </w:r>
      <w:r>
        <w:rPr>
          <w:rFonts w:hint="eastAsia" w:ascii="Times New Roman" w:hAnsi="Times New Roman" w:eastAsia="仿宋_GB2312" w:cs="仿宋_GB2312"/>
          <w:color w:val="auto"/>
          <w:kern w:val="2"/>
          <w:sz w:val="32"/>
          <w:szCs w:val="32"/>
          <w:highlight w:val="none"/>
          <w:lang w:val="en-US" w:eastAsia="zh-CN" w:bidi="ar-SA"/>
        </w:rPr>
        <w:t>万元。主要用于公务用车保险、加油及维修和购置一体机1台。授予中小企业合同金额</w:t>
      </w:r>
      <w:r>
        <w:rPr>
          <w:rFonts w:hint="eastAsia" w:ascii="Times New Roman" w:hAnsi="Times New Roman" w:eastAsia="仿宋_GB2312" w:cs="仿宋_GB2312"/>
          <w:sz w:val="32"/>
          <w:szCs w:val="32"/>
        </w:rPr>
        <w:t>2.75</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Times New Roman" w:hAnsi="Times New Roman" w:eastAsia="仿宋_GB2312" w:cs="仿宋_GB2312"/>
          <w:sz w:val="32"/>
          <w:szCs w:val="32"/>
        </w:rPr>
        <w:t>94.87</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ascii="Times New Roman" w:hAnsi="Times New Roman" w:eastAsia="仿宋_GB2312" w:cs="仿宋_GB2312"/>
          <w:sz w:val="32"/>
          <w:szCs w:val="32"/>
        </w:rPr>
        <w:t>1.86</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Times New Roman" w:hAnsi="Times New Roman" w:eastAsia="仿宋_GB2312" w:cs="仿宋_GB2312"/>
          <w:sz w:val="32"/>
          <w:szCs w:val="32"/>
        </w:rPr>
        <w:t>64.28</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7" w:name="_Toc15377224"/>
      <w:r>
        <w:rPr>
          <w:rFonts w:hint="eastAsia" w:ascii="Times New Roman" w:hAnsi="Times New Roman" w:eastAsia="楷体_GB2312" w:cs="楷体_GB2312"/>
          <w:b/>
          <w:color w:val="auto"/>
          <w:sz w:val="32"/>
          <w:szCs w:val="32"/>
          <w:highlight w:val="none"/>
        </w:rPr>
        <w:t>（三）国有资产占有使用情况</w:t>
      </w:r>
      <w:bookmarkEnd w:id="5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截至2025年12月31日，</w:t>
      </w:r>
      <w:r>
        <w:rPr>
          <w:rFonts w:hint="eastAsia" w:ascii="Times New Roman" w:hAnsi="Times New Roman" w:eastAsia="仿宋_GB2312" w:cs="仿宋_GB2312"/>
          <w:sz w:val="32"/>
          <w:szCs w:val="32"/>
        </w:rPr>
        <w:t>攀西无公害农产品监测中心</w:t>
      </w:r>
      <w:r>
        <w:rPr>
          <w:rFonts w:hint="eastAsia" w:ascii="Times New Roman" w:hAnsi="Times New Roman" w:eastAsia="仿宋_GB2312" w:cs="仿宋_GB2312"/>
          <w:color w:val="auto"/>
          <w:kern w:val="2"/>
          <w:sz w:val="32"/>
          <w:szCs w:val="32"/>
          <w:highlight w:val="none"/>
          <w:lang w:val="en-US" w:eastAsia="zh-CN" w:bidi="ar-SA"/>
        </w:rPr>
        <w:t>共有车辆</w:t>
      </w:r>
      <w:r>
        <w:rPr>
          <w:rFonts w:hint="eastAsia" w:ascii="Times New Roman" w:hAnsi="Times New Roman"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辆，其中：副部（省）级及以上领导用车</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辆、主要负责人用车</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辆、机要通信用车</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辆、应急保障用车</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辆、执法执勤用车</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辆、特种专业技术用车</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辆、离退休干部服务用车</w:t>
      </w:r>
      <w:r>
        <w:rPr>
          <w:rFonts w:hint="eastAsia" w:ascii="Times New Roman" w:hAnsi="Times New Roman"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辆、其他用车</w:t>
      </w:r>
      <w:r>
        <w:rPr>
          <w:rFonts w:hint="eastAsia" w:ascii="Times New Roman" w:hAnsi="Times New Roman"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辆，其他用车主要是用于</w:t>
      </w:r>
      <w:r>
        <w:rPr>
          <w:rFonts w:hint="eastAsia" w:ascii="Times New Roman" w:hAnsi="Times New Roman" w:eastAsia="仿宋_GB2312"/>
          <w:color w:val="auto"/>
          <w:sz w:val="32"/>
          <w:szCs w:val="32"/>
          <w:highlight w:val="none"/>
          <w:lang w:eastAsia="zh-CN"/>
        </w:rPr>
        <w:t>省、市两级农产品质量安全监测</w:t>
      </w:r>
      <w:r>
        <w:rPr>
          <w:rFonts w:hint="eastAsia" w:ascii="Times New Roman" w:hAnsi="Times New Roman" w:eastAsia="仿宋_GB2312"/>
          <w:color w:val="000000"/>
          <w:sz w:val="32"/>
          <w:szCs w:val="32"/>
          <w:lang w:eastAsia="zh-CN"/>
        </w:rPr>
        <w:t>抽采样</w:t>
      </w:r>
      <w:r>
        <w:rPr>
          <w:rFonts w:hint="eastAsia" w:ascii="Times New Roman" w:hAnsi="Times New Roman" w:eastAsia="仿宋_GB2312" w:cs="仿宋_GB2312"/>
          <w:color w:val="auto"/>
          <w:kern w:val="2"/>
          <w:sz w:val="32"/>
          <w:szCs w:val="32"/>
          <w:highlight w:val="none"/>
          <w:lang w:val="en-US" w:eastAsia="zh-CN" w:bidi="ar-SA"/>
        </w:rPr>
        <w:t>。单价100万元（含）以上设备（不含车辆）</w:t>
      </w:r>
      <w:r>
        <w:rPr>
          <w:rFonts w:hint="eastAsia" w:ascii="Times New Roman" w:hAnsi="Times New Roman" w:eastAsia="仿宋_GB2312" w:cs="仿宋_GB2312"/>
          <w:sz w:val="32"/>
          <w:szCs w:val="32"/>
        </w:rPr>
        <w:t>3</w:t>
      </w:r>
      <w:r>
        <w:rPr>
          <w:rFonts w:hint="eastAsia" w:ascii="Times New Roman" w:hAnsi="Times New Roman" w:eastAsia="仿宋_GB2312" w:cs="仿宋_GB2312"/>
          <w:color w:val="auto"/>
          <w:kern w:val="2"/>
          <w:sz w:val="32"/>
          <w:szCs w:val="32"/>
          <w:highlight w:val="none"/>
          <w:lang w:val="en-US" w:eastAsia="zh-CN" w:bidi="ar-SA"/>
        </w:rPr>
        <w:t>台（套）。</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根据预算绩效管理要求，攀西无公害农产品监测中心在2025年度，组织对</w:t>
      </w:r>
      <w:r>
        <w:rPr>
          <w:rFonts w:hint="eastAsia" w:ascii="Times New Roman" w:hAnsi="Times New Roman" w:cs="仿宋_GB2312"/>
          <w:color w:val="auto"/>
          <w:kern w:val="2"/>
          <w:sz w:val="32"/>
          <w:szCs w:val="32"/>
          <w:highlight w:val="none"/>
          <w:lang w:val="en-US" w:eastAsia="zh-CN" w:bidi="ar-SA"/>
        </w:rPr>
        <w:t>实验室运行经费</w:t>
      </w:r>
      <w:r>
        <w:rPr>
          <w:rFonts w:hint="eastAsia" w:ascii="Times New Roman" w:hAnsi="Times New Roman" w:eastAsia="仿宋_GB2312" w:cs="仿宋_GB2312"/>
          <w:color w:val="auto"/>
          <w:kern w:val="2"/>
          <w:sz w:val="32"/>
          <w:szCs w:val="32"/>
          <w:highlight w:val="none"/>
          <w:lang w:val="en-US" w:eastAsia="zh-CN" w:bidi="ar-SA"/>
        </w:rPr>
        <w:t>等1个项目涉及金额10万元开展了事前绩效评估，对2个项目编制了绩效目标，预算执行过程中，选取2个项目开展绩效监控。</w:t>
      </w:r>
    </w:p>
    <w:p>
      <w:pPr>
        <w:spacing w:line="600" w:lineRule="exact"/>
        <w:ind w:firstLine="640" w:firstLineChars="200"/>
        <w:rPr>
          <w:rFonts w:hint="eastAsia" w:ascii="Times New Roman" w:hAnsi="Times New Roman" w:eastAsia="仿宋_GB2312"/>
          <w:sz w:val="32"/>
          <w:szCs w:val="32"/>
        </w:rPr>
      </w:pPr>
      <w:bookmarkStart w:id="58" w:name="_Toc15396613"/>
      <w:bookmarkStart w:id="59" w:name="_Toc15377225"/>
      <w:r>
        <w:rPr>
          <w:rFonts w:hint="eastAsia" w:ascii="Times New Roman" w:hAnsi="Times New Roman" w:eastAsia="仿宋_GB2312"/>
          <w:sz w:val="32"/>
          <w:szCs w:val="32"/>
        </w:rPr>
        <w:t>组织对</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个项目开展绩效自评，绩效自评表详见第四部分附件。</w:t>
      </w:r>
    </w:p>
    <w:p>
      <w:pPr>
        <w:rPr>
          <w:rFonts w:ascii="Times New Roman" w:hAnsi="Times New Roman"/>
        </w:rPr>
      </w:pPr>
      <w:r>
        <w:rPr>
          <w:rFonts w:ascii="Times New Roman" w:hAnsi="Times New Roman"/>
        </w:rPr>
        <w:br w:type="page"/>
      </w: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60" w:name="_Toc28730_WPSOffice_Level1"/>
      <w:r>
        <w:rPr>
          <w:rFonts w:hint="eastAsia" w:ascii="Times New Roman" w:hAnsi="Times New Roman" w:eastAsia="黑体"/>
          <w:color w:val="auto"/>
          <w:sz w:val="44"/>
          <w:szCs w:val="44"/>
          <w:highlight w:val="none"/>
        </w:rPr>
        <w:t>第</w:t>
      </w:r>
      <w:r>
        <w:rPr>
          <w:rFonts w:hint="eastAsia" w:ascii="Times New Roman" w:hAnsi="Times New Roman"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8"/>
      <w:bookmarkEnd w:id="59"/>
      <w:bookmarkEnd w:id="60"/>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1.财政拨款收入：指单位从同级财政单位取得的财政预算资金。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pStyle w:val="26"/>
        <w:spacing w:line="560" w:lineRule="exact"/>
        <w:ind w:firstLine="640" w:firstLineChars="200"/>
        <w:rPr>
          <w:rFonts w:ascii="Times New Roman" w:hAnsi="Times New Roman" w:eastAsia="仿宋_GB2312"/>
          <w:color w:val="auto"/>
          <w:sz w:val="32"/>
          <w:szCs w:val="32"/>
          <w:highlight w:val="none"/>
        </w:rPr>
      </w:pPr>
      <w:r>
        <w:rPr>
          <w:rFonts w:hint="eastAsia" w:ascii="Times New Roman" w:hAnsi="Times New Roman" w:eastAsia="仿宋_GB2312" w:cs="仿宋_GB2312"/>
          <w:color w:val="auto"/>
          <w:kern w:val="2"/>
          <w:sz w:val="32"/>
          <w:szCs w:val="32"/>
          <w:highlight w:val="none"/>
          <w:lang w:val="en-US" w:eastAsia="zh-CN" w:bidi="ar-SA"/>
        </w:rPr>
        <w:t>9.</w:t>
      </w:r>
      <w:r>
        <w:rPr>
          <w:rFonts w:hint="eastAsia" w:ascii="Times New Roman" w:hAnsi="Times New Roman" w:eastAsia="仿宋_GB2312"/>
          <w:color w:val="auto"/>
          <w:sz w:val="32"/>
          <w:szCs w:val="32"/>
          <w:highlight w:val="none"/>
        </w:rPr>
        <w:t>社会保障和就业</w:t>
      </w:r>
      <w:r>
        <w:rPr>
          <w:rFonts w:hint="eastAsia" w:ascii="Times New Roman" w:hAnsi="Times New Roman" w:eastAsia="仿宋_GB2312"/>
          <w:color w:val="auto"/>
          <w:sz w:val="32"/>
          <w:szCs w:val="32"/>
          <w:highlight w:val="none"/>
          <w:lang w:eastAsia="zh-CN"/>
        </w:rPr>
        <w:t>支出</w:t>
      </w:r>
      <w:r>
        <w:rPr>
          <w:rFonts w:hint="eastAsia" w:ascii="Times New Roman" w:hAnsi="Times New Roman" w:eastAsia="仿宋_GB2312"/>
          <w:color w:val="auto"/>
          <w:sz w:val="32"/>
          <w:szCs w:val="32"/>
          <w:highlight w:val="none"/>
        </w:rPr>
        <w:t>（类）行政事业单位养老支出（款）事业单位离退休（项）</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指</w:t>
      </w:r>
      <w:r>
        <w:rPr>
          <w:rStyle w:val="17"/>
          <w:rFonts w:hint="eastAsia" w:ascii="Times New Roman" w:hAnsi="Times New Roman" w:eastAsia="仿宋_GB2312" w:cs="仿宋"/>
          <w:b w:val="0"/>
          <w:bCs w:val="0"/>
          <w:color w:val="000000"/>
          <w:sz w:val="32"/>
          <w:szCs w:val="32"/>
        </w:rPr>
        <w:t>反映事业单位开支的离退休经费</w:t>
      </w:r>
      <w:r>
        <w:rPr>
          <w:rFonts w:hint="eastAsia" w:ascii="Times New Roman" w:hAnsi="Times New Roman" w:eastAsia="仿宋_GB2312"/>
          <w:color w:val="auto"/>
          <w:sz w:val="32"/>
          <w:szCs w:val="32"/>
          <w:highlight w:val="none"/>
        </w:rPr>
        <w:t>。</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10.</w:t>
      </w:r>
      <w:r>
        <w:rPr>
          <w:rStyle w:val="17"/>
          <w:rFonts w:hint="eastAsia" w:ascii="Times New Roman" w:hAnsi="Times New Roman" w:eastAsia="仿宋_GB2312" w:cs="仿宋"/>
          <w:b w:val="0"/>
          <w:bCs w:val="0"/>
          <w:color w:val="000000"/>
          <w:sz w:val="32"/>
          <w:szCs w:val="32"/>
        </w:rPr>
        <w:t>社会保障和就业</w:t>
      </w:r>
      <w:r>
        <w:rPr>
          <w:rStyle w:val="17"/>
          <w:rFonts w:hint="eastAsia" w:ascii="Times New Roman" w:hAnsi="Times New Roman" w:eastAsia="仿宋_GB2312" w:cs="仿宋"/>
          <w:b w:val="0"/>
          <w:bCs w:val="0"/>
          <w:color w:val="000000"/>
          <w:sz w:val="32"/>
          <w:szCs w:val="32"/>
          <w:lang w:eastAsia="zh-CN"/>
        </w:rPr>
        <w:t>支出</w:t>
      </w:r>
      <w:r>
        <w:rPr>
          <w:rStyle w:val="17"/>
          <w:rFonts w:hint="eastAsia" w:ascii="Times New Roman" w:hAnsi="Times New Roman" w:eastAsia="仿宋_GB2312" w:cs="仿宋"/>
          <w:b w:val="0"/>
          <w:bCs w:val="0"/>
          <w:color w:val="000000"/>
          <w:sz w:val="32"/>
          <w:szCs w:val="32"/>
        </w:rPr>
        <w:t>（类）行政事业单位养老支出（款）机关事业单位基本养老保险缴费支出（项）</w:t>
      </w:r>
      <w:r>
        <w:rPr>
          <w:rStyle w:val="17"/>
          <w:rFonts w:ascii="Times New Roman" w:hAnsi="Times New Roman" w:eastAsia="仿宋_GB2312" w:cs="仿宋"/>
          <w:b w:val="0"/>
          <w:bCs w:val="0"/>
          <w:color w:val="000000"/>
          <w:sz w:val="32"/>
          <w:szCs w:val="32"/>
        </w:rPr>
        <w:t>:</w:t>
      </w:r>
      <w:r>
        <w:rPr>
          <w:rStyle w:val="17"/>
          <w:rFonts w:hint="eastAsia" w:ascii="Times New Roman" w:hAnsi="Times New Roman" w:eastAsia="仿宋_GB2312" w:cs="仿宋"/>
          <w:b w:val="0"/>
          <w:bCs w:val="0"/>
          <w:color w:val="000000"/>
          <w:sz w:val="32"/>
          <w:szCs w:val="32"/>
        </w:rPr>
        <w:t>反映机关事业单位实施养老保险制度由单位缴纳的基本养老保险费支出</w:t>
      </w:r>
      <w:r>
        <w:rPr>
          <w:rStyle w:val="17"/>
          <w:rFonts w:hint="eastAsia" w:ascii="Times New Roman" w:hAnsi="Times New Roman" w:eastAsia="仿宋_GB2312" w:cs="仿宋"/>
          <w:b w:val="0"/>
          <w:bCs w:val="0"/>
          <w:color w:val="000000"/>
          <w:sz w:val="32"/>
          <w:szCs w:val="32"/>
          <w:lang w:eastAsia="zh-CN"/>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w:t>
      </w:r>
      <w:r>
        <w:rPr>
          <w:rStyle w:val="17"/>
          <w:rFonts w:hint="eastAsia" w:ascii="Times New Roman" w:hAnsi="Times New Roman" w:eastAsia="仿宋_GB2312" w:cs="仿宋"/>
          <w:b w:val="0"/>
          <w:bCs w:val="0"/>
          <w:color w:val="000000"/>
          <w:sz w:val="32"/>
          <w:szCs w:val="32"/>
          <w:lang w:val="en-US" w:eastAsia="zh-CN"/>
        </w:rPr>
        <w:t>卫生健康支出</w:t>
      </w:r>
      <w:r>
        <w:rPr>
          <w:rStyle w:val="17"/>
          <w:rFonts w:hint="eastAsia" w:ascii="Times New Roman" w:hAnsi="Times New Roman" w:eastAsia="仿宋_GB2312" w:cs="仿宋"/>
          <w:b w:val="0"/>
          <w:bCs w:val="0"/>
          <w:color w:val="000000"/>
          <w:sz w:val="32"/>
          <w:szCs w:val="32"/>
        </w:rPr>
        <w:t>（类）</w:t>
      </w:r>
      <w:r>
        <w:rPr>
          <w:rStyle w:val="17"/>
          <w:rFonts w:hint="eastAsia" w:ascii="Times New Roman" w:hAnsi="Times New Roman" w:eastAsia="仿宋_GB2312" w:cs="仿宋"/>
          <w:b w:val="0"/>
          <w:bCs w:val="0"/>
          <w:color w:val="000000"/>
          <w:sz w:val="32"/>
          <w:szCs w:val="32"/>
          <w:lang w:eastAsia="zh-CN"/>
        </w:rPr>
        <w:t>行政事业单位医疗</w:t>
      </w:r>
      <w:r>
        <w:rPr>
          <w:rStyle w:val="17"/>
          <w:rFonts w:hint="eastAsia" w:ascii="Times New Roman" w:hAnsi="Times New Roman" w:eastAsia="仿宋_GB2312" w:cs="仿宋"/>
          <w:b w:val="0"/>
          <w:bCs w:val="0"/>
          <w:color w:val="000000"/>
          <w:sz w:val="32"/>
          <w:szCs w:val="32"/>
        </w:rPr>
        <w:t>（款）</w:t>
      </w:r>
      <w:r>
        <w:rPr>
          <w:rStyle w:val="17"/>
          <w:rFonts w:hint="eastAsia" w:ascii="Times New Roman" w:hAnsi="Times New Roman" w:eastAsia="仿宋_GB2312" w:cs="仿宋"/>
          <w:b w:val="0"/>
          <w:bCs w:val="0"/>
          <w:color w:val="000000"/>
          <w:sz w:val="32"/>
          <w:szCs w:val="32"/>
          <w:lang w:eastAsia="zh-CN"/>
        </w:rPr>
        <w:t>其他人事业单位医疗</w:t>
      </w:r>
      <w:r>
        <w:rPr>
          <w:rStyle w:val="17"/>
          <w:rFonts w:hint="eastAsia" w:ascii="Times New Roman" w:hAnsi="Times New Roman" w:eastAsia="仿宋_GB2312" w:cs="仿宋"/>
          <w:b w:val="0"/>
          <w:bCs w:val="0"/>
          <w:color w:val="000000"/>
          <w:sz w:val="32"/>
          <w:szCs w:val="32"/>
        </w:rPr>
        <w:t>（项）</w:t>
      </w:r>
      <w:r>
        <w:rPr>
          <w:rStyle w:val="17"/>
          <w:rFonts w:ascii="Times New Roman" w:hAnsi="Times New Roman" w:eastAsia="仿宋_GB2312" w:cs="仿宋"/>
          <w:b w:val="0"/>
          <w:bCs w:val="0"/>
          <w:color w:val="000000"/>
          <w:sz w:val="32"/>
          <w:szCs w:val="32"/>
        </w:rPr>
        <w:t>:</w:t>
      </w:r>
      <w:r>
        <w:rPr>
          <w:rFonts w:hint="eastAsia" w:ascii="Times New Roman" w:hAnsi="Times New Roman" w:eastAsia="仿宋_GB2312" w:cs="仿宋_GB2312"/>
          <w:color w:val="auto"/>
          <w:kern w:val="2"/>
          <w:sz w:val="32"/>
          <w:szCs w:val="32"/>
          <w:highlight w:val="none"/>
          <w:lang w:val="en-US" w:eastAsia="zh-CN" w:bidi="ar-SA"/>
        </w:rPr>
        <w:t>指反映财政部门安排的事业单位基本医疗保险缴费经费，未参加医疗保险的事业单位的公费医疗经费，按国家规定享受离休人员待遇的医疗经费。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w:t>
      </w:r>
      <w:r>
        <w:rPr>
          <w:rStyle w:val="17"/>
          <w:rFonts w:hint="eastAsia" w:ascii="Times New Roman" w:hAnsi="Times New Roman" w:eastAsia="仿宋_GB2312" w:cs="仿宋"/>
          <w:b w:val="0"/>
          <w:bCs w:val="0"/>
          <w:color w:val="000000"/>
          <w:sz w:val="32"/>
          <w:szCs w:val="32"/>
          <w:lang w:val="en-US" w:eastAsia="zh-CN"/>
        </w:rPr>
        <w:t>卫生健康支出（类）行政事业单位医疗（款）公务员医疗补助（项）</w:t>
      </w:r>
      <w:r>
        <w:rPr>
          <w:rStyle w:val="17"/>
          <w:rFonts w:ascii="Times New Roman" w:hAnsi="Times New Roman" w:eastAsia="仿宋_GB2312" w:cs="仿宋"/>
          <w:b w:val="0"/>
          <w:bCs w:val="0"/>
          <w:color w:val="000000"/>
          <w:sz w:val="32"/>
          <w:szCs w:val="32"/>
        </w:rPr>
        <w:t>:</w:t>
      </w:r>
      <w:r>
        <w:rPr>
          <w:rFonts w:hint="eastAsia" w:ascii="Times New Roman" w:hAnsi="Times New Roman" w:eastAsia="仿宋_GB2312" w:cs="仿宋_GB2312"/>
          <w:color w:val="auto"/>
          <w:kern w:val="2"/>
          <w:sz w:val="32"/>
          <w:szCs w:val="32"/>
          <w:highlight w:val="none"/>
          <w:lang w:val="en-US" w:eastAsia="zh-CN" w:bidi="ar-SA"/>
        </w:rPr>
        <w:t>指反映财政部门安排的公务员医疗补助经费。</w:t>
      </w:r>
    </w:p>
    <w:p>
      <w:pPr>
        <w:spacing w:line="600" w:lineRule="exact"/>
        <w:ind w:firstLine="640"/>
        <w:rPr>
          <w:rStyle w:val="17"/>
          <w:rFonts w:hint="eastAsia" w:ascii="Times New Roman" w:hAnsi="Times New Roman" w:eastAsia="仿宋_GB2312" w:cs="仿宋"/>
          <w:b w:val="0"/>
          <w:bCs w:val="0"/>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13.</w:t>
      </w:r>
      <w:r>
        <w:rPr>
          <w:rFonts w:hint="eastAsia" w:ascii="Times New Roman" w:hAnsi="Times New Roman" w:eastAsia="仿宋_GB2312" w:cs="仿宋"/>
          <w:color w:val="000000"/>
          <w:sz w:val="32"/>
          <w:szCs w:val="32"/>
        </w:rPr>
        <w:t>农林水支出</w:t>
      </w:r>
      <w:r>
        <w:rPr>
          <w:rStyle w:val="17"/>
          <w:rFonts w:hint="eastAsia" w:ascii="Times New Roman" w:hAnsi="Times New Roman" w:eastAsia="仿宋_GB2312" w:cs="仿宋"/>
          <w:b w:val="0"/>
          <w:bCs w:val="0"/>
          <w:color w:val="000000"/>
          <w:sz w:val="32"/>
          <w:szCs w:val="32"/>
        </w:rPr>
        <w:t>（类）农业农村（款）事业运行（项）</w:t>
      </w:r>
      <w:r>
        <w:rPr>
          <w:rStyle w:val="17"/>
          <w:rFonts w:ascii="Times New Roman" w:hAnsi="Times New Roman" w:eastAsia="仿宋_GB2312" w:cs="仿宋"/>
          <w:b w:val="0"/>
          <w:bCs w:val="0"/>
          <w:color w:val="000000"/>
          <w:sz w:val="32"/>
          <w:szCs w:val="32"/>
        </w:rPr>
        <w:t>:</w:t>
      </w:r>
      <w:r>
        <w:rPr>
          <w:rStyle w:val="17"/>
          <w:rFonts w:hint="eastAsia" w:ascii="Times New Roman" w:hAnsi="Times New Roman" w:eastAsia="仿宋_GB2312" w:cs="仿宋"/>
          <w:b w:val="0"/>
          <w:bCs w:val="0"/>
          <w:color w:val="000000"/>
          <w:sz w:val="32"/>
          <w:szCs w:val="32"/>
        </w:rPr>
        <w:t>反映用于农业事业单位基本支出，事业单位设施、系统运行与资产维护等方面的支出。</w:t>
      </w:r>
    </w:p>
    <w:p>
      <w:pPr>
        <w:spacing w:line="600" w:lineRule="exact"/>
        <w:ind w:firstLine="640"/>
        <w:rPr>
          <w:rStyle w:val="17"/>
          <w:rFonts w:hint="eastAsia" w:ascii="Times New Roman" w:hAnsi="Times New Roman" w:eastAsia="仿宋_GB2312" w:cs="仿宋"/>
          <w:b w:val="0"/>
          <w:bCs w:val="0"/>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14.</w:t>
      </w:r>
      <w:r>
        <w:rPr>
          <w:rFonts w:hint="eastAsia" w:ascii="Times New Roman" w:hAnsi="Times New Roman" w:eastAsia="仿宋_GB2312" w:cs="仿宋"/>
          <w:color w:val="000000"/>
          <w:sz w:val="32"/>
          <w:szCs w:val="32"/>
        </w:rPr>
        <w:t>农林水支出</w:t>
      </w:r>
      <w:r>
        <w:rPr>
          <w:rStyle w:val="17"/>
          <w:rFonts w:hint="eastAsia" w:ascii="Times New Roman" w:hAnsi="Times New Roman" w:eastAsia="仿宋_GB2312" w:cs="仿宋"/>
          <w:b w:val="0"/>
          <w:bCs w:val="0"/>
          <w:color w:val="000000"/>
          <w:sz w:val="32"/>
          <w:szCs w:val="32"/>
        </w:rPr>
        <w:t>（类）农业农村（款）其他农业农村支出（项）</w:t>
      </w:r>
      <w:r>
        <w:rPr>
          <w:rStyle w:val="17"/>
          <w:rFonts w:ascii="Times New Roman" w:hAnsi="Times New Roman" w:eastAsia="仿宋_GB2312" w:cs="仿宋"/>
          <w:b w:val="0"/>
          <w:bCs w:val="0"/>
          <w:color w:val="000000"/>
          <w:sz w:val="32"/>
          <w:szCs w:val="32"/>
        </w:rPr>
        <w:t>:</w:t>
      </w:r>
      <w:r>
        <w:rPr>
          <w:rStyle w:val="17"/>
          <w:rFonts w:hint="eastAsia" w:ascii="Times New Roman" w:hAnsi="Times New Roman" w:eastAsia="仿宋_GB2312" w:cs="仿宋"/>
          <w:b w:val="0"/>
          <w:bCs w:val="0"/>
          <w:color w:val="000000"/>
          <w:sz w:val="32"/>
          <w:szCs w:val="32"/>
        </w:rPr>
        <w:t>反映其他用于农业农村方面的支出。</w:t>
      </w:r>
    </w:p>
    <w:p>
      <w:pPr>
        <w:spacing w:line="600" w:lineRule="exact"/>
        <w:ind w:firstLine="640"/>
        <w:rPr>
          <w:rStyle w:val="17"/>
          <w:rFonts w:hint="eastAsia" w:ascii="Times New Roman" w:hAnsi="Times New Roman" w:eastAsia="仿宋_GB2312" w:cs="仿宋"/>
          <w:b w:val="0"/>
          <w:bCs w:val="0"/>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15.</w:t>
      </w:r>
      <w:r>
        <w:rPr>
          <w:rFonts w:hint="eastAsia" w:ascii="Times New Roman" w:hAnsi="Times New Roman" w:eastAsia="仿宋_GB2312" w:cs="仿宋"/>
          <w:color w:val="000000"/>
          <w:sz w:val="32"/>
          <w:szCs w:val="32"/>
        </w:rPr>
        <w:t>住房保障支出</w:t>
      </w:r>
      <w:r>
        <w:rPr>
          <w:rStyle w:val="17"/>
          <w:rFonts w:hint="eastAsia" w:ascii="Times New Roman" w:hAnsi="Times New Roman" w:eastAsia="仿宋_GB2312" w:cs="仿宋"/>
          <w:b w:val="0"/>
          <w:bCs w:val="0"/>
          <w:color w:val="000000"/>
          <w:sz w:val="32"/>
          <w:szCs w:val="32"/>
        </w:rPr>
        <w:t>（类）住房改革支出（款）住房公积金（项）</w:t>
      </w:r>
      <w:r>
        <w:rPr>
          <w:rStyle w:val="17"/>
          <w:rFonts w:ascii="Times New Roman" w:hAnsi="Times New Roman" w:eastAsia="仿宋_GB2312" w:cs="仿宋"/>
          <w:b w:val="0"/>
          <w:bCs w:val="0"/>
          <w:color w:val="000000"/>
          <w:sz w:val="32"/>
          <w:szCs w:val="32"/>
        </w:rPr>
        <w:t>:</w:t>
      </w:r>
      <w:r>
        <w:rPr>
          <w:rStyle w:val="17"/>
          <w:rFonts w:hint="eastAsia" w:ascii="Times New Roman" w:hAnsi="Times New Roman" w:eastAsia="仿宋_GB2312" w:cs="仿宋"/>
          <w:b w:val="0"/>
          <w:bCs w:val="0"/>
          <w:color w:val="000000"/>
          <w:sz w:val="32"/>
          <w:szCs w:val="32"/>
        </w:rPr>
        <w:t>反映行政事业单位按人力资源和社会保障部、财政部规定的基本工资和津贴补贴以及规定比例为职工缴纳的住房公积金。</w:t>
      </w:r>
    </w:p>
    <w:p>
      <w:pPr>
        <w:spacing w:line="600" w:lineRule="exact"/>
        <w:ind w:firstLine="640"/>
        <w:rPr>
          <w:rStyle w:val="17"/>
          <w:rFonts w:hint="eastAsia" w:ascii="Times New Roman" w:hAnsi="Times New Roman" w:eastAsia="仿宋_GB2312" w:cs="仿宋"/>
          <w:b w:val="0"/>
          <w:bCs w:val="0"/>
          <w:color w:val="000000"/>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16.</w:t>
      </w:r>
      <w:r>
        <w:rPr>
          <w:rStyle w:val="17"/>
          <w:rFonts w:hint="eastAsia" w:ascii="Times New Roman" w:hAnsi="Times New Roman" w:eastAsia="仿宋_GB2312" w:cs="仿宋"/>
          <w:b w:val="0"/>
          <w:bCs w:val="0"/>
          <w:color w:val="000000"/>
          <w:sz w:val="32"/>
          <w:szCs w:val="32"/>
          <w:lang w:val="en-US" w:eastAsia="zh-CN"/>
        </w:rPr>
        <w:t>社会保障和就业支出（类）人力资源和社会保障管理事务（款）其他人力资源和社会保障管理事务支出（项）：反映其他用于人力资源和社会保障管理事务方面的支出。</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lang w:val="en-US" w:eastAsia="zh-CN"/>
        </w:rPr>
      </w:pPr>
      <w:r>
        <w:rPr>
          <w:rFonts w:hint="eastAsia" w:ascii="Times New Roman" w:hAnsi="Times New Roman" w:eastAsia="仿宋_GB2312" w:cs="仿宋_GB2312"/>
          <w:color w:val="auto"/>
          <w:kern w:val="2"/>
          <w:sz w:val="32"/>
          <w:szCs w:val="32"/>
          <w:highlight w:val="none"/>
          <w:lang w:val="en-US" w:eastAsia="zh-CN" w:bidi="ar-SA"/>
        </w:rPr>
        <w:t>17.</w:t>
      </w:r>
      <w:r>
        <w:rPr>
          <w:rStyle w:val="17"/>
          <w:rFonts w:hint="eastAsia" w:ascii="Times New Roman" w:hAnsi="Times New Roman" w:eastAsia="仿宋_GB2312"/>
          <w:b w:val="0"/>
          <w:bCs w:val="0"/>
          <w:color w:val="auto"/>
          <w:sz w:val="32"/>
          <w:szCs w:val="32"/>
          <w:highlight w:val="none"/>
          <w:lang w:val="en-US" w:eastAsia="zh-CN"/>
        </w:rPr>
        <w:t>农林水支出（类）农业农村（款）农产品质量安全（项）</w:t>
      </w:r>
      <w:r>
        <w:rPr>
          <w:rStyle w:val="17"/>
          <w:rFonts w:hint="eastAsia" w:ascii="Times New Roman" w:hAnsi="Times New Roman"/>
          <w:b w:val="0"/>
          <w:bCs w:val="0"/>
          <w:color w:val="auto"/>
          <w:sz w:val="32"/>
          <w:szCs w:val="32"/>
          <w:highlight w:val="none"/>
          <w:lang w:val="en-US" w:eastAsia="zh-CN"/>
        </w:rPr>
        <w:t>：反映用于农业品及其投入品的质量安全评估、监测、抽查、认证、应急处置，相关标准的制定、修订、实施、监管等方面的支出。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19.项目支出：指在基本支出之外为完成特定行政任务和事业发展目标所发生的支出。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w:t>
      </w:r>
      <w:r>
        <w:rPr>
          <w:rFonts w:hint="eastAsia" w:eastAsia="仿宋_GB2312" w:cs="仿宋_GB2312"/>
          <w:color w:val="auto"/>
          <w:kern w:val="2"/>
          <w:sz w:val="32"/>
          <w:szCs w:val="32"/>
          <w:highlight w:val="none"/>
          <w:lang w:val="en-US" w:eastAsia="zh-CN" w:bidi="ar-SA"/>
        </w:rPr>
        <w:t>按规定保留的公务用车燃料费、新能源汽车充电费、维修费、过桥过路费、保险费、安全奖励费等支出</w:t>
      </w:r>
      <w:r>
        <w:rPr>
          <w:rFonts w:hint="eastAsia" w:ascii="Times New Roman" w:hAnsi="Times New Roman" w:eastAsia="仿宋_GB2312" w:cs="仿宋_GB2312"/>
          <w:color w:val="auto"/>
          <w:kern w:val="2"/>
          <w:sz w:val="32"/>
          <w:szCs w:val="32"/>
          <w:highlight w:val="none"/>
          <w:lang w:val="en-US" w:eastAsia="zh-CN" w:bidi="ar-SA"/>
        </w:rPr>
        <w:t>；公务接待费反映单位按规定开支的各类公务接待（含外宾接待）支出。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28"/>
          <w:rFonts w:hint="eastAsia" w:ascii="Times New Roman" w:hAnsi="Times New Roman" w:eastAsia="黑体"/>
          <w:b w:val="0"/>
          <w:color w:val="auto"/>
          <w:highlight w:val="none"/>
          <w:lang w:eastAsia="zh-CN"/>
        </w:rPr>
      </w:pPr>
      <w:bookmarkStart w:id="6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62" w:name="_Toc15396614"/>
      <w:bookmarkStart w:id="63" w:name="_Toc31180_WPSOffice_Level1"/>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62"/>
      <w:bookmarkEnd w:id="63"/>
    </w:p>
    <w:p>
      <w:pPr>
        <w:bidi w:val="0"/>
        <w:rPr>
          <w:rFonts w:hint="eastAsia" w:ascii="Times New Roman" w:hAnsi="Times New Roman" w:eastAsia="仿宋_GB2312"/>
          <w:sz w:val="32"/>
          <w:lang w:val="en-US" w:eastAsia="zh-CN"/>
        </w:rPr>
      </w:pPr>
    </w:p>
    <w:p>
      <w:pPr>
        <w:bidi w:val="0"/>
        <w:rPr>
          <w:rFonts w:hint="default" w:ascii="Times New Roman" w:hAnsi="Times New Roman" w:eastAsia="仿宋_GB2312"/>
          <w:sz w:val="32"/>
          <w:lang w:val="en-US" w:eastAsia="zh-CN"/>
        </w:rPr>
      </w:pPr>
      <w:r>
        <w:rPr>
          <w:rFonts w:hint="eastAsia" w:ascii="Times New Roman" w:hAnsi="Times New Roman" w:eastAsia="仿宋_GB2312"/>
          <w:sz w:val="32"/>
          <w:lang w:val="en-US" w:eastAsia="zh-CN"/>
        </w:rPr>
        <w:t>部门预算项目支出绩效自评表（2024年度）见附件3</w:t>
      </w: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64"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bookmarkStart w:id="65" w:name="_Toc17477_WPSOffice_Level1"/>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61"/>
      <w:bookmarkEnd w:id="64"/>
      <w:bookmarkEnd w:id="65"/>
      <w:bookmarkStart w:id="66"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945_WPSOffice_Level2"/>
      <w:r>
        <w:rPr>
          <w:rFonts w:hint="eastAsia" w:ascii="Times New Roman" w:hAnsi="Times New Roman" w:eastAsia="仿宋_GB2312" w:cs="仿宋_GB2312"/>
          <w:color w:val="auto"/>
          <w:sz w:val="32"/>
          <w:szCs w:val="32"/>
          <w:highlight w:val="none"/>
        </w:rPr>
        <w:t>一、收入支出决算总表</w:t>
      </w:r>
      <w:bookmarkEnd w:id="66"/>
      <w:bookmarkEnd w:id="6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0"/>
      <w:bookmarkStart w:id="69" w:name="_Toc15770_WPSOffice_Level2"/>
      <w:r>
        <w:rPr>
          <w:rFonts w:hint="eastAsia" w:ascii="Times New Roman" w:hAnsi="Times New Roman" w:eastAsia="仿宋_GB2312" w:cs="仿宋_GB2312"/>
          <w:color w:val="auto"/>
          <w:sz w:val="32"/>
          <w:szCs w:val="32"/>
          <w:highlight w:val="none"/>
        </w:rPr>
        <w:t>二、收入决算表</w:t>
      </w:r>
      <w:bookmarkEnd w:id="68"/>
      <w:bookmarkEnd w:id="6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21"/>
      <w:bookmarkStart w:id="71" w:name="_Toc26918_WPSOffice_Level2"/>
      <w:r>
        <w:rPr>
          <w:rFonts w:hint="eastAsia" w:ascii="Times New Roman" w:hAnsi="Times New Roman" w:eastAsia="仿宋_GB2312" w:cs="仿宋_GB2312"/>
          <w:color w:val="auto"/>
          <w:sz w:val="32"/>
          <w:szCs w:val="32"/>
          <w:highlight w:val="none"/>
        </w:rPr>
        <w:t>三、支出决算表</w:t>
      </w:r>
      <w:bookmarkEnd w:id="70"/>
      <w:bookmarkEnd w:id="7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22"/>
      <w:bookmarkStart w:id="73" w:name="_Toc26502_WPSOffice_Level2"/>
      <w:r>
        <w:rPr>
          <w:rFonts w:hint="eastAsia" w:ascii="Times New Roman" w:hAnsi="Times New Roman" w:eastAsia="仿宋_GB2312" w:cs="仿宋_GB2312"/>
          <w:color w:val="auto"/>
          <w:sz w:val="32"/>
          <w:szCs w:val="32"/>
          <w:highlight w:val="none"/>
        </w:rPr>
        <w:t>四、财政拨款收入支出决算总表</w:t>
      </w:r>
      <w:bookmarkEnd w:id="72"/>
      <w:bookmarkEnd w:id="73"/>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4" w:name="_Toc15396623"/>
      <w:bookmarkStart w:id="75" w:name="_Toc27723_WPSOffice_Level2"/>
      <w:r>
        <w:rPr>
          <w:rFonts w:hint="eastAsia" w:ascii="Times New Roman" w:hAnsi="Times New Roman" w:eastAsia="仿宋_GB2312" w:cs="仿宋_GB2312"/>
          <w:color w:val="auto"/>
          <w:sz w:val="32"/>
          <w:szCs w:val="32"/>
          <w:highlight w:val="none"/>
        </w:rPr>
        <w:t>五、财政拨款支出决算明细表</w:t>
      </w:r>
      <w:bookmarkEnd w:id="74"/>
      <w:bookmarkEnd w:id="75"/>
      <w:bookmarkStart w:id="76"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7" w:name="_Toc5504_WPSOffice_Level2"/>
      <w:r>
        <w:rPr>
          <w:rFonts w:hint="eastAsia" w:ascii="Times New Roman" w:hAnsi="Times New Roman" w:eastAsia="仿宋_GB2312" w:cs="仿宋_GB2312"/>
          <w:color w:val="auto"/>
          <w:sz w:val="32"/>
          <w:szCs w:val="32"/>
          <w:highlight w:val="none"/>
        </w:rPr>
        <w:t>六、一般公共预算财政拨款支出决算表</w:t>
      </w:r>
      <w:bookmarkEnd w:id="76"/>
      <w:bookmarkEnd w:id="7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8" w:name="_Toc15396625"/>
      <w:bookmarkStart w:id="79" w:name="_Toc3525_WPSOffice_Level2"/>
      <w:r>
        <w:rPr>
          <w:rFonts w:hint="eastAsia" w:ascii="Times New Roman" w:hAnsi="Times New Roman" w:eastAsia="仿宋_GB2312" w:cs="仿宋_GB2312"/>
          <w:color w:val="auto"/>
          <w:sz w:val="32"/>
          <w:szCs w:val="32"/>
          <w:highlight w:val="none"/>
        </w:rPr>
        <w:t>七、一般公共预算财政拨款支出决算明细表</w:t>
      </w:r>
      <w:bookmarkEnd w:id="78"/>
      <w:bookmarkEnd w:id="7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0" w:name="_Toc15396626"/>
      <w:bookmarkStart w:id="81" w:name="_Toc14840_WPSOffice_Level2"/>
      <w:r>
        <w:rPr>
          <w:rFonts w:hint="eastAsia" w:ascii="Times New Roman" w:hAnsi="Times New Roman" w:eastAsia="仿宋_GB2312" w:cs="仿宋_GB2312"/>
          <w:color w:val="auto"/>
          <w:sz w:val="32"/>
          <w:szCs w:val="32"/>
          <w:highlight w:val="none"/>
        </w:rPr>
        <w:t>八、一般公共预算财政拨款基本支出决算表</w:t>
      </w:r>
      <w:bookmarkEnd w:id="80"/>
      <w:bookmarkEnd w:id="8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2" w:name="_Toc15396627"/>
      <w:bookmarkStart w:id="83" w:name="_Toc25673_WPSOffice_Level2"/>
      <w:r>
        <w:rPr>
          <w:rFonts w:hint="eastAsia" w:ascii="Times New Roman" w:hAnsi="Times New Roman" w:eastAsia="仿宋_GB2312" w:cs="仿宋_GB2312"/>
          <w:color w:val="auto"/>
          <w:sz w:val="32"/>
          <w:szCs w:val="32"/>
          <w:highlight w:val="none"/>
        </w:rPr>
        <w:t>九、一般公共预算财政拨款项目支出决算表</w:t>
      </w:r>
      <w:bookmarkEnd w:id="82"/>
      <w:bookmarkEnd w:id="83"/>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4" w:name="_Toc15396628"/>
      <w:bookmarkStart w:id="85" w:name="_Toc20173_WPSOffice_Level2"/>
      <w:r>
        <w:rPr>
          <w:rFonts w:hint="eastAsia" w:ascii="Times New Roman" w:hAnsi="Times New Roman" w:eastAsia="仿宋_GB2312" w:cs="仿宋_GB2312"/>
          <w:color w:val="auto"/>
          <w:sz w:val="32"/>
          <w:szCs w:val="32"/>
          <w:highlight w:val="none"/>
        </w:rPr>
        <w:t>十、</w:t>
      </w:r>
      <w:bookmarkEnd w:id="84"/>
      <w:r>
        <w:rPr>
          <w:rFonts w:hint="eastAsia" w:ascii="Times New Roman" w:hAnsi="Times New Roman" w:eastAsia="仿宋_GB2312" w:cs="仿宋_GB2312"/>
          <w:color w:val="auto"/>
          <w:sz w:val="32"/>
          <w:szCs w:val="32"/>
          <w:highlight w:val="none"/>
        </w:rPr>
        <w:t>政府性基金预算财政拨款收入支出决算表</w:t>
      </w:r>
      <w:bookmarkEnd w:id="85"/>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6" w:name="_Toc15396629"/>
      <w:bookmarkStart w:id="87" w:name="_Toc12359_WPSOffice_Level2"/>
      <w:r>
        <w:rPr>
          <w:rFonts w:hint="eastAsia" w:ascii="Times New Roman" w:hAnsi="Times New Roman" w:eastAsia="仿宋_GB2312" w:cs="仿宋_GB2312"/>
          <w:color w:val="auto"/>
          <w:sz w:val="32"/>
          <w:szCs w:val="32"/>
          <w:highlight w:val="none"/>
        </w:rPr>
        <w:t>十一、</w:t>
      </w:r>
      <w:bookmarkEnd w:id="8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bookmarkEnd w:id="8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8" w:name="_Toc15396630"/>
      <w:bookmarkStart w:id="89" w:name="_Toc20600_WPSOffice_Level2"/>
      <w:r>
        <w:rPr>
          <w:rFonts w:hint="eastAsia" w:ascii="Times New Roman" w:hAnsi="Times New Roman" w:eastAsia="仿宋_GB2312" w:cs="仿宋_GB2312"/>
          <w:color w:val="auto"/>
          <w:sz w:val="32"/>
          <w:szCs w:val="32"/>
          <w:highlight w:val="none"/>
        </w:rPr>
        <w:t>十二、</w:t>
      </w:r>
      <w:bookmarkEnd w:id="88"/>
      <w:r>
        <w:rPr>
          <w:rFonts w:hint="eastAsia" w:ascii="Times New Roman" w:hAnsi="Times New Roman" w:eastAsia="仿宋_GB2312" w:cs="仿宋_GB2312"/>
          <w:color w:val="auto"/>
          <w:sz w:val="32"/>
          <w:szCs w:val="32"/>
          <w:highlight w:val="none"/>
          <w:lang w:eastAsia="zh-CN"/>
        </w:rPr>
        <w:t>国有资本经营预算财政拨款支出决算表</w:t>
      </w:r>
      <w:bookmarkEnd w:id="8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90" w:name="_Toc15396631"/>
      <w:bookmarkStart w:id="91" w:name="_Toc27386_WPSOffice_Level2"/>
      <w:r>
        <w:rPr>
          <w:rFonts w:hint="eastAsia" w:ascii="Times New Roman" w:hAnsi="Times New Roman" w:eastAsia="仿宋_GB2312" w:cs="仿宋_GB2312"/>
          <w:color w:val="auto"/>
          <w:sz w:val="32"/>
          <w:szCs w:val="32"/>
          <w:highlight w:val="none"/>
        </w:rPr>
        <w:t>十三、</w:t>
      </w:r>
      <w:bookmarkEnd w:id="90"/>
      <w:r>
        <w:rPr>
          <w:rFonts w:hint="eastAsia" w:ascii="Times New Roman" w:hAnsi="Times New Roman" w:eastAsia="仿宋_GB2312" w:cs="仿宋_GB2312"/>
          <w:color w:val="auto"/>
          <w:sz w:val="32"/>
          <w:szCs w:val="32"/>
          <w:highlight w:val="none"/>
          <w:lang w:eastAsia="zh-CN"/>
        </w:rPr>
        <w:t>财政拨款“三公”经费支出决算表</w:t>
      </w:r>
      <w:bookmarkEnd w:id="91"/>
    </w:p>
    <w:p>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zQKKhHA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0CioRwCAAArBAAADgAAAAAAAAABACAAAAA1AQAAZHJzL2Uyb0RvYy54bWxQSwUG&#10;AAAAAAYABgBZAQAAwwU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A/AhHQIAACs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rm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8D8CEdAgAAKwQAAA4AAAAAAAAAAQAgAAAANQEAAGRycy9lMm9Eb2MueG1sUEsF&#10;BgAAAAAGAAYAWQEAAMQ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2233DD"/>
    <w:multiLevelType w:val="singleLevel"/>
    <w:tmpl w:val="CF2233D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8FC5EEA"/>
    <w:rsid w:val="09867E8F"/>
    <w:rsid w:val="0A2032A3"/>
    <w:rsid w:val="0C3B2421"/>
    <w:rsid w:val="0C6C4794"/>
    <w:rsid w:val="0CA8290A"/>
    <w:rsid w:val="0D35B1ED"/>
    <w:rsid w:val="0DE07E2B"/>
    <w:rsid w:val="0F070EA0"/>
    <w:rsid w:val="0F98263C"/>
    <w:rsid w:val="101860EC"/>
    <w:rsid w:val="10C055FF"/>
    <w:rsid w:val="111C64EF"/>
    <w:rsid w:val="11772AA4"/>
    <w:rsid w:val="118107EC"/>
    <w:rsid w:val="128F55EA"/>
    <w:rsid w:val="13957196"/>
    <w:rsid w:val="13D50BC4"/>
    <w:rsid w:val="14022904"/>
    <w:rsid w:val="14697687"/>
    <w:rsid w:val="152F2A07"/>
    <w:rsid w:val="165E0673"/>
    <w:rsid w:val="16BB723D"/>
    <w:rsid w:val="16F13FCB"/>
    <w:rsid w:val="17C61BAD"/>
    <w:rsid w:val="186504BB"/>
    <w:rsid w:val="18950518"/>
    <w:rsid w:val="1938089F"/>
    <w:rsid w:val="19A445FC"/>
    <w:rsid w:val="19B77FA1"/>
    <w:rsid w:val="1AE63B50"/>
    <w:rsid w:val="1B7D550C"/>
    <w:rsid w:val="1BE8440E"/>
    <w:rsid w:val="1D155CEE"/>
    <w:rsid w:val="1DE178F3"/>
    <w:rsid w:val="1E740ACF"/>
    <w:rsid w:val="1FF35744"/>
    <w:rsid w:val="1FF6BC77"/>
    <w:rsid w:val="203D2303"/>
    <w:rsid w:val="21112205"/>
    <w:rsid w:val="21962A9E"/>
    <w:rsid w:val="21AE7C77"/>
    <w:rsid w:val="227F362E"/>
    <w:rsid w:val="22BC3C41"/>
    <w:rsid w:val="23860B96"/>
    <w:rsid w:val="240371BF"/>
    <w:rsid w:val="246375AF"/>
    <w:rsid w:val="2518225F"/>
    <w:rsid w:val="260F557C"/>
    <w:rsid w:val="281408E2"/>
    <w:rsid w:val="29FD04D3"/>
    <w:rsid w:val="2AA67BB3"/>
    <w:rsid w:val="2BFF7BC6"/>
    <w:rsid w:val="2C891927"/>
    <w:rsid w:val="2C8A61B5"/>
    <w:rsid w:val="2D2E01CF"/>
    <w:rsid w:val="2DF04E50"/>
    <w:rsid w:val="2E9545B0"/>
    <w:rsid w:val="2F040D46"/>
    <w:rsid w:val="2FAE5751"/>
    <w:rsid w:val="2FB1A395"/>
    <w:rsid w:val="2FD9A7D8"/>
    <w:rsid w:val="319F7F4E"/>
    <w:rsid w:val="321B2544"/>
    <w:rsid w:val="321D17FC"/>
    <w:rsid w:val="3304709D"/>
    <w:rsid w:val="34281836"/>
    <w:rsid w:val="343F1DA5"/>
    <w:rsid w:val="349D6851"/>
    <w:rsid w:val="35BA6CAF"/>
    <w:rsid w:val="35D37231"/>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1313393"/>
    <w:rsid w:val="43A407DF"/>
    <w:rsid w:val="44515BEA"/>
    <w:rsid w:val="44E268DA"/>
    <w:rsid w:val="453F7E5B"/>
    <w:rsid w:val="45C46E88"/>
    <w:rsid w:val="486A6C7A"/>
    <w:rsid w:val="49176D9B"/>
    <w:rsid w:val="494006BD"/>
    <w:rsid w:val="4A627F82"/>
    <w:rsid w:val="4B0E749A"/>
    <w:rsid w:val="4B4F25DA"/>
    <w:rsid w:val="4BDA0CFB"/>
    <w:rsid w:val="4BE068DB"/>
    <w:rsid w:val="4C500A5A"/>
    <w:rsid w:val="4D3C0CCC"/>
    <w:rsid w:val="4D49652C"/>
    <w:rsid w:val="4D577224"/>
    <w:rsid w:val="4DBF1CEB"/>
    <w:rsid w:val="4EAB630A"/>
    <w:rsid w:val="4ECE2238"/>
    <w:rsid w:val="4F833267"/>
    <w:rsid w:val="4FE9BD67"/>
    <w:rsid w:val="4FFB052F"/>
    <w:rsid w:val="52781507"/>
    <w:rsid w:val="52B6533C"/>
    <w:rsid w:val="53083A92"/>
    <w:rsid w:val="533A2ADE"/>
    <w:rsid w:val="537E6D0A"/>
    <w:rsid w:val="53AF27A2"/>
    <w:rsid w:val="53F74C96"/>
    <w:rsid w:val="56E47B74"/>
    <w:rsid w:val="57BD3DD4"/>
    <w:rsid w:val="5AF92295"/>
    <w:rsid w:val="5BDD79E6"/>
    <w:rsid w:val="5BF561CA"/>
    <w:rsid w:val="5BFF5DFC"/>
    <w:rsid w:val="5CC70C3D"/>
    <w:rsid w:val="5CD71FC4"/>
    <w:rsid w:val="5D1F11B5"/>
    <w:rsid w:val="5DAE1B18"/>
    <w:rsid w:val="5DE7D9E5"/>
    <w:rsid w:val="5ECEC941"/>
    <w:rsid w:val="5F493CB7"/>
    <w:rsid w:val="5F7D0EEC"/>
    <w:rsid w:val="5FBF9FF3"/>
    <w:rsid w:val="5FCD4E2C"/>
    <w:rsid w:val="5FD15F49"/>
    <w:rsid w:val="5FEF394A"/>
    <w:rsid w:val="5FF67715"/>
    <w:rsid w:val="60A557E0"/>
    <w:rsid w:val="62BF3928"/>
    <w:rsid w:val="635813C9"/>
    <w:rsid w:val="647F5392"/>
    <w:rsid w:val="664B1D71"/>
    <w:rsid w:val="67AA3209"/>
    <w:rsid w:val="681C4F0D"/>
    <w:rsid w:val="69046D0F"/>
    <w:rsid w:val="698D0931"/>
    <w:rsid w:val="6A993CED"/>
    <w:rsid w:val="6B053271"/>
    <w:rsid w:val="6BCE6674"/>
    <w:rsid w:val="6BE51ECC"/>
    <w:rsid w:val="6C4A05C8"/>
    <w:rsid w:val="6C8742B8"/>
    <w:rsid w:val="6C8A170F"/>
    <w:rsid w:val="6C9272A1"/>
    <w:rsid w:val="6CB54609"/>
    <w:rsid w:val="6DBF5E93"/>
    <w:rsid w:val="6DFF077E"/>
    <w:rsid w:val="6E540E2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2A412B"/>
    <w:rsid w:val="7332FE48"/>
    <w:rsid w:val="73AB61DA"/>
    <w:rsid w:val="73AD73D5"/>
    <w:rsid w:val="73B6EB34"/>
    <w:rsid w:val="73FA497D"/>
    <w:rsid w:val="744731E5"/>
    <w:rsid w:val="74527205"/>
    <w:rsid w:val="74B527A1"/>
    <w:rsid w:val="74BBD01D"/>
    <w:rsid w:val="74ED5379"/>
    <w:rsid w:val="74FC2395"/>
    <w:rsid w:val="75BA7759"/>
    <w:rsid w:val="75DEEEC2"/>
    <w:rsid w:val="76E3355F"/>
    <w:rsid w:val="76FF5125"/>
    <w:rsid w:val="771B5DFF"/>
    <w:rsid w:val="776F6FFA"/>
    <w:rsid w:val="778769C8"/>
    <w:rsid w:val="77DC22F5"/>
    <w:rsid w:val="79086DAD"/>
    <w:rsid w:val="79974F09"/>
    <w:rsid w:val="79D7FD79"/>
    <w:rsid w:val="79EE5BA4"/>
    <w:rsid w:val="7A894339"/>
    <w:rsid w:val="7AFF7572"/>
    <w:rsid w:val="7B6C7DFB"/>
    <w:rsid w:val="7BBFBED0"/>
    <w:rsid w:val="7BC3E394"/>
    <w:rsid w:val="7C1C0D90"/>
    <w:rsid w:val="7C1F3737"/>
    <w:rsid w:val="7CBFC87B"/>
    <w:rsid w:val="7CFE0F48"/>
    <w:rsid w:val="7D154690"/>
    <w:rsid w:val="7D7EC23E"/>
    <w:rsid w:val="7D916348"/>
    <w:rsid w:val="7E450EEE"/>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next w:val="1"/>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5">
    <w:name w:val="WPSOffice手动目录 1"/>
    <w:qFormat/>
    <w:uiPriority w:val="0"/>
    <w:pPr>
      <w:ind w:leftChars="0"/>
    </w:pPr>
    <w:rPr>
      <w:rFonts w:asciiTheme="minorHAnsi" w:hAnsiTheme="minorHAnsi" w:eastAsiaTheme="minorEastAsia" w:cstheme="minorBidi"/>
      <w:sz w:val="20"/>
      <w:szCs w:val="20"/>
    </w:rPr>
  </w:style>
  <w:style w:type="paragraph" w:customStyle="1" w:styleId="3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2026\2025&#20915;&#31639;&#20844;&#24320;\&#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E:\2026\2025&#20915;&#31639;&#20844;&#24320;\&#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E:\2026\2025&#20915;&#31639;&#20844;&#24320;\&#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026\2025&#20915;&#31639;&#20844;&#24320;\&#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026\2025&#20915;&#31639;&#20844;&#24320;\&#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2026\2025&#20915;&#31639;&#20844;&#24320;\&#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6\2025&#20915;&#31639;&#20844;&#24320;\&#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p>
        </c:rich>
      </c:tx>
      <c:layout/>
      <c:overlay val="false"/>
      <c:spPr>
        <a:noFill/>
        <a:ln>
          <a:noFill/>
        </a:ln>
        <a:effectLst/>
      </c:spPr>
    </c:title>
    <c:autoTitleDeleted val="false"/>
    <c:plotArea>
      <c:layout/>
      <c:barChart>
        <c:barDir val="col"/>
        <c:grouping val="clustered"/>
        <c:varyColors val="false"/>
        <c:ser>
          <c:idx val="0"/>
          <c:order val="0"/>
          <c:tx>
            <c:strRef>
              <c:f>"收支总计"</c:f>
              <c:strCache>
                <c:ptCount val="1"/>
                <c:pt idx="0">
                  <c:v>收支总计</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[图.xlsx]Sheet1!$C$5:$C$6</c:f>
              <c:strCache>
                <c:ptCount val="2"/>
                <c:pt idx="0">
                  <c:v>2025年</c:v>
                </c:pt>
                <c:pt idx="1">
                  <c:v>2024年</c:v>
                </c:pt>
              </c:strCache>
            </c:strRef>
          </c:cat>
          <c:val>
            <c:numRef>
              <c:f>[图.xlsx]Sheet1!$D$5:$D$6</c:f>
              <c:numCache>
                <c:formatCode>General</c:formatCode>
                <c:ptCount val="2"/>
                <c:pt idx="0">
                  <c:v>425.56</c:v>
                </c:pt>
                <c:pt idx="1">
                  <c:v>385.68</c:v>
                </c:pt>
              </c:numCache>
            </c:numRef>
          </c:val>
        </c:ser>
        <c:dLbls>
          <c:showLegendKey val="false"/>
          <c:showVal val="true"/>
          <c:showCatName val="false"/>
          <c:showSerName val="false"/>
          <c:showPercent val="false"/>
          <c:showBubbleSize val="false"/>
        </c:dLbls>
        <c:gapWidth val="219"/>
        <c:overlap val="-27"/>
        <c:axId val="235893626"/>
        <c:axId val="874721207"/>
      </c:barChart>
      <c:catAx>
        <c:axId val="235893626"/>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74721207"/>
        <c:crosses val="autoZero"/>
        <c:auto val="true"/>
        <c:lblAlgn val="ctr"/>
        <c:lblOffset val="100"/>
        <c:noMultiLvlLbl val="false"/>
      </c:catAx>
      <c:valAx>
        <c:axId val="874721207"/>
        <c:scaling>
          <c:orientation val="minMax"/>
        </c:scaling>
        <c:delete val="false"/>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万元</a:t>
                </a:r>
              </a:p>
            </c:rich>
          </c:tx>
          <c:layout/>
          <c:overlay val="false"/>
          <c:spPr>
            <a:noFill/>
            <a:ln>
              <a:noFill/>
            </a:ln>
            <a:effectLst/>
          </c:spPr>
        </c:title>
        <c:numFmt formatCode="General"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5893626"/>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false"/>
      <c:spPr>
        <a:noFill/>
        <a:ln>
          <a:noFill/>
        </a:ln>
        <a:effectLst/>
      </c:spPr>
    </c:title>
    <c:autoTitleDeleted val="false"/>
    <c:plotArea>
      <c:layout/>
      <c:doughnut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[图.xlsx]Sheet1!$C$21:$C$29</c15:sqref>
                  </c15:fullRef>
                </c:ext>
              </c:extLst>
              <c:f>[图.xlsx]Sheet1!$C$21:$C$22</c:f>
              <c:strCache>
                <c:ptCount val="2"/>
                <c:pt idx="0">
                  <c:v>一、一般公共预算财政拨款收入</c:v>
                </c:pt>
                <c:pt idx="1">
                  <c:v>二、政府性基金预算财政拨款收入</c:v>
                </c:pt>
              </c:strCache>
            </c:strRef>
          </c:cat>
          <c:val>
            <c:numRef>
              <c:extLst>
                <c:ext xmlns:c15="http://schemas.microsoft.com/office/drawing/2012/chart" uri="{02D57815-91ED-43cb-92C2-25804820EDAC}">
                  <c15:fullRef>
                    <c15:sqref>Sheet1!$D$21:$D$29</c15:sqref>
                  </c15:fullRef>
                </c:ext>
              </c:extLst>
              <c:f>[图.xlsx]Sheet1!$D$21:$D$22</c:f>
              <c:numCache>
                <c:formatCode>General</c:formatCode>
                <c:ptCount val="2"/>
                <c:pt idx="0">
                  <c:v>420.95</c:v>
                </c:pt>
                <c:pt idx="1" c:formatCode="#,##0.00">
                  <c:v>4.61</c:v>
                </c:pt>
              </c:numCache>
            </c:numRef>
          </c:val>
        </c:ser>
        <c:dLbls>
          <c:showLegendKey val="false"/>
          <c:showVal val="true"/>
          <c:showCatName val="false"/>
          <c:showSerName val="false"/>
          <c:showPercent val="false"/>
          <c:showBubbleSize val="false"/>
          <c:showLeaderLines val="true"/>
        </c:dLbls>
        <c:firstSliceAng val="0"/>
        <c:holeSize val="50"/>
      </c:doughnut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800" b="1" i="0" u="none" strike="noStrike" kern="1200" cap="all" spc="150" baseline="0">
                <a:solidFill>
                  <a:schemeClr val="tx1">
                    <a:lumMod val="50000"/>
                    <a:lumOff val="50000"/>
                  </a:schemeClr>
                </a:solidFill>
                <a:latin typeface="+mn-lt"/>
                <a:ea typeface="+mn-ea"/>
                <a:cs typeface="+mn-cs"/>
              </a:defRPr>
            </a:pPr>
            <a:r>
              <a:t>支出决算结构图</a:t>
            </a:r>
          </a:p>
        </c:rich>
      </c:tx>
      <c:layout/>
      <c:overlay val="false"/>
      <c:spPr>
        <a:noFill/>
        <a:ln>
          <a:noFill/>
        </a:ln>
        <a:effectLst/>
      </c:spPr>
    </c:title>
    <c:autoTitleDeleted val="false"/>
    <c:plotArea>
      <c:layout/>
      <c:doughnutChart>
        <c:varyColors val="true"/>
        <c:ser>
          <c:idx val="0"/>
          <c:order val="0"/>
          <c:spPr/>
          <c:explosion val="0"/>
          <c:dPt>
            <c:idx val="0"/>
            <c:bubble3D val="false"/>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false"/>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[图.xlsx]Sheet1!$C$40:$G$40</c15:sqref>
                  </c15:fullRef>
                </c:ext>
              </c:extLst>
              <c:f>[图.xlsx]Sheet1!$C$40:$D$40</c:f>
              <c:strCache>
                <c:ptCount val="2"/>
                <c:pt idx="0" c:formatCode="#,##0.000000">
                  <c:v>基本支出</c:v>
                </c:pt>
                <c:pt idx="1" c:formatCode="#,##0.000000">
                  <c:v>项目支出</c:v>
                </c:pt>
              </c:strCache>
            </c:strRef>
          </c:cat>
          <c:val>
            <c:numRef>
              <c:extLst>
                <c:ext xmlns:c15="http://schemas.microsoft.com/office/drawing/2012/chart" uri="{02D57815-91ED-43cb-92C2-25804820EDAC}">
                  <c15:fullRef>
                    <c15:sqref>Sheet1!$C$41:$G$41</c15:sqref>
                  </c15:fullRef>
                </c:ext>
              </c:extLst>
              <c:f>[图.xlsx]Sheet1!$C$41:$D$41</c:f>
              <c:numCache>
                <c:formatCode>General</c:formatCode>
                <c:ptCount val="2"/>
              </c:numCache>
            </c:numRef>
          </c:val>
        </c:ser>
        <c:ser>
          <c:idx val="1"/>
          <c:order val="1"/>
          <c:spPr/>
          <c:explosion val="0"/>
          <c:dPt>
            <c:idx val="0"/>
            <c:bubble3D val="false"/>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dPt>
          <c:dPt>
            <c:idx val="1"/>
            <c:bubble3D val="false"/>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a:solidFill>
                        <a:schemeClr val="tx1">
                          <a:lumMod val="35000"/>
                          <a:lumOff val="65000"/>
                        </a:schemeClr>
                      </a:solidFill>
                    </a:ln>
                    <a:effectLst/>
                  </c:spPr>
                </c15:leaderLines>
              </c:ext>
            </c:extLst>
          </c:dLbls>
          <c:cat>
            <c:strRef>
              <c:extLst>
                <c:ext xmlns:c15="http://schemas.microsoft.com/office/drawing/2012/chart" uri="{02D57815-91ED-43cb-92C2-25804820EDAC}">
                  <c15:fullRef>
                    <c15:sqref>[图.xlsx]Sheet1!$C$40:$G$40</c15:sqref>
                  </c15:fullRef>
                </c:ext>
              </c:extLst>
              <c:f>[图.xlsx]Sheet1!$C$40:$D$40</c:f>
              <c:strCache>
                <c:ptCount val="2"/>
                <c:pt idx="0" c:formatCode="#,##0.000000">
                  <c:v>基本支出</c:v>
                </c:pt>
                <c:pt idx="1" c:formatCode="#,##0.000000">
                  <c:v>项目支出</c:v>
                </c:pt>
              </c:strCache>
            </c:strRef>
          </c:cat>
          <c:val>
            <c:numRef>
              <c:extLst>
                <c:ext xmlns:c15="http://schemas.microsoft.com/office/drawing/2012/chart" uri="{02D57815-91ED-43cb-92C2-25804820EDAC}">
                  <c15:fullRef>
                    <c15:sqref>Sheet1!$C$42:$G$42</c15:sqref>
                  </c15:fullRef>
                </c:ext>
              </c:extLst>
              <c:f>[图.xlsx]Sheet1!$C$42:$D$42</c:f>
              <c:numCache>
                <c:formatCode>General</c:formatCode>
                <c:ptCount val="2"/>
                <c:pt idx="0">
                  <c:v>319.91</c:v>
                </c:pt>
                <c:pt idx="1">
                  <c:v>105.65</c:v>
                </c:pt>
              </c:numCache>
            </c:numRef>
          </c:val>
        </c:ser>
        <c:dLbls>
          <c:showLegendKey val="false"/>
          <c:showVal val="true"/>
          <c:showCatName val="false"/>
          <c:showSerName val="false"/>
          <c:showPercent val="false"/>
          <c:showBubbleSize val="false"/>
          <c:showLeaderLines val="true"/>
        </c:dLbls>
        <c:firstSliceAng val="0"/>
        <c:holeSize val="70"/>
      </c:doughnut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财政拨款收、支决算总计变动图</a:t>
            </a:r>
          </a:p>
        </c:rich>
      </c:tx>
      <c:layout/>
      <c:overlay val="false"/>
      <c:spPr>
        <a:noFill/>
        <a:ln>
          <a:noFill/>
        </a:ln>
        <a:effectLst/>
      </c:spPr>
    </c:title>
    <c:autoTitleDeleted val="false"/>
    <c:plotArea>
      <c:layout>
        <c:manualLayout>
          <c:layoutTarget val="inner"/>
          <c:xMode val="edge"/>
          <c:yMode val="edge"/>
          <c:x val="0.197555555555556"/>
          <c:y val="0.183061889250814"/>
          <c:w val="0.749111111111111"/>
          <c:h val="0.661585233441911"/>
        </c:manualLayout>
      </c:layout>
      <c:barChart>
        <c:barDir val="col"/>
        <c:grouping val="clustered"/>
        <c:varyColors val="false"/>
        <c:ser>
          <c:idx val="0"/>
          <c:order val="0"/>
          <c:tx>
            <c:strRef>
              <c:f>"收支总计"</c:f>
              <c:strCache>
                <c:ptCount val="1"/>
                <c:pt idx="0">
                  <c:v>收支总计</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[图.xlsx]Sheet1!$C$5:$C$6</c:f>
              <c:strCache>
                <c:ptCount val="2"/>
                <c:pt idx="0">
                  <c:v>2025年</c:v>
                </c:pt>
                <c:pt idx="1">
                  <c:v>2024年</c:v>
                </c:pt>
              </c:strCache>
            </c:strRef>
          </c:cat>
          <c:val>
            <c:numRef>
              <c:f>[图.xlsx]Sheet1!$D$5:$D$6</c:f>
              <c:numCache>
                <c:formatCode>General</c:formatCode>
                <c:ptCount val="2"/>
                <c:pt idx="0">
                  <c:v>425.56</c:v>
                </c:pt>
                <c:pt idx="1">
                  <c:v>385.68</c:v>
                </c:pt>
              </c:numCache>
            </c:numRef>
          </c:val>
        </c:ser>
        <c:dLbls>
          <c:showLegendKey val="false"/>
          <c:showVal val="true"/>
          <c:showCatName val="false"/>
          <c:showSerName val="false"/>
          <c:showPercent val="false"/>
          <c:showBubbleSize val="false"/>
        </c:dLbls>
        <c:gapWidth val="219"/>
        <c:overlap val="-27"/>
        <c:axId val="235893626"/>
        <c:axId val="874721207"/>
      </c:barChart>
      <c:catAx>
        <c:axId val="235893626"/>
        <c:scaling>
          <c:orientation val="minMax"/>
        </c:scaling>
        <c:delete val="false"/>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874721207"/>
        <c:crosses val="autoZero"/>
        <c:auto val="true"/>
        <c:lblAlgn val="ctr"/>
        <c:lblOffset val="100"/>
        <c:noMultiLvlLbl val="false"/>
      </c:catAx>
      <c:valAx>
        <c:axId val="874721207"/>
        <c:scaling>
          <c:orientation val="minMax"/>
        </c:scaling>
        <c:delete val="false"/>
        <c:axPos val="l"/>
        <c:majorGridlines>
          <c:spPr>
            <a:ln w="9525" cap="flat" cmpd="sng" algn="ctr">
              <a:solidFill>
                <a:schemeClr val="tx1">
                  <a:lumMod val="15000"/>
                  <a:lumOff val="85000"/>
                </a:schemeClr>
              </a:solidFill>
              <a:round/>
            </a:ln>
            <a:effectLst/>
          </c:spPr>
        </c:majorGridlines>
        <c:title>
          <c:tx>
            <c:rich>
              <a:bodyPr rot="-5400000" spcFirstLastPara="0" vertOverflow="ellipsis" vert="horz" wrap="square" anchor="ctr" anchorCtr="true"/>
              <a:lstStyle/>
              <a:p>
                <a:pPr defTabSz="914400">
                  <a:defRPr lang="zh-CN" sz="1000" b="0" i="0" u="none" strike="noStrike" kern="1200" baseline="0">
                    <a:solidFill>
                      <a:schemeClr val="tx1">
                        <a:lumMod val="65000"/>
                        <a:lumOff val="35000"/>
                      </a:schemeClr>
                    </a:solidFill>
                    <a:latin typeface="+mn-lt"/>
                    <a:ea typeface="+mn-ea"/>
                    <a:cs typeface="+mn-cs"/>
                  </a:defRPr>
                </a:pPr>
                <a:r>
                  <a:t>万元</a:t>
                </a:r>
              </a:p>
            </c:rich>
          </c:tx>
          <c:layout/>
          <c:overlay val="false"/>
          <c:spPr>
            <a:noFill/>
            <a:ln>
              <a:noFill/>
            </a:ln>
            <a:effectLst/>
          </c:spPr>
        </c:title>
        <c:numFmt formatCode="General" sourceLinked="true"/>
        <c:majorTickMark val="out"/>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5893626"/>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false"/>
      <c:spPr>
        <a:noFill/>
        <a:ln>
          <a:noFill/>
        </a:ln>
        <a:effectLst/>
      </c:spPr>
    </c:title>
    <c:autoTitleDeleted val="false"/>
    <c:plotArea>
      <c:layout/>
      <c:barChart>
        <c:barDir val="col"/>
        <c:grouping val="clustered"/>
        <c:varyColors val="false"/>
        <c:ser>
          <c:idx val="0"/>
          <c:order val="0"/>
          <c:tx>
            <c:strRef>
              <c:f>"支出决算数"</c:f>
              <c:strCache>
                <c:ptCount val="1"/>
                <c:pt idx="0">
                  <c:v>支出决算数</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[图.xlsx]Sheet1!$U$8:$U$9</c:f>
              <c:strCache>
                <c:ptCount val="2"/>
                <c:pt idx="0">
                  <c:v>2025年</c:v>
                </c:pt>
                <c:pt idx="1">
                  <c:v>2024年</c:v>
                </c:pt>
              </c:strCache>
            </c:strRef>
          </c:cat>
          <c:val>
            <c:numRef>
              <c:f>[图.xlsx]Sheet1!$V$8:$V$9</c:f>
              <c:numCache>
                <c:formatCode>General</c:formatCode>
                <c:ptCount val="2"/>
                <c:pt idx="0">
                  <c:v>420.95</c:v>
                </c:pt>
                <c:pt idx="1">
                  <c:v>375.68</c:v>
                </c:pt>
              </c:numCache>
            </c:numRef>
          </c:val>
        </c:ser>
        <c:dLbls>
          <c:showLegendKey val="false"/>
          <c:showVal val="true"/>
          <c:showCatName val="false"/>
          <c:showSerName val="false"/>
          <c:showPercent val="false"/>
          <c:showBubbleSize val="false"/>
        </c:dLbls>
        <c:gapWidth val="219"/>
        <c:overlap val="-27"/>
        <c:axId val="45363322"/>
        <c:axId val="584112491"/>
      </c:barChart>
      <c:catAx>
        <c:axId val="4536332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84112491"/>
        <c:crosses val="autoZero"/>
        <c:auto val="true"/>
        <c:lblAlgn val="ctr"/>
        <c:lblOffset val="100"/>
        <c:noMultiLvlLbl val="false"/>
      </c:catAx>
      <c:valAx>
        <c:axId val="584112491"/>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536332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600" b="1" i="0" u="none" strike="noStrike" kern="1200" spc="0" normalizeH="0" baseline="0">
                <a:solidFill>
                  <a:schemeClr val="dk1">
                    <a:lumMod val="50000"/>
                    <a:lumOff val="50000"/>
                  </a:schemeClr>
                </a:solidFill>
                <a:latin typeface="+mj-lt"/>
                <a:ea typeface="+mj-ea"/>
                <a:cs typeface="+mj-cs"/>
              </a:defRPr>
            </a:pPr>
            <a:r>
              <a:t>一般公共预算财政拨款支出决算结构</a:t>
            </a:r>
          </a:p>
          <a:p>
            <a:pPr defTabSz="914400">
              <a:defRPr lang="zh-CN" sz="1600" b="1" i="0" u="none" strike="noStrike" kern="1200" spc="0" normalizeH="0" baseline="0">
                <a:solidFill>
                  <a:schemeClr val="dk1">
                    <a:lumMod val="50000"/>
                    <a:lumOff val="50000"/>
                  </a:schemeClr>
                </a:solidFill>
                <a:latin typeface="+mj-lt"/>
                <a:ea typeface="+mj-ea"/>
                <a:cs typeface="+mj-cs"/>
              </a:defRPr>
            </a:pPr>
          </a:p>
        </c:rich>
      </c:tx>
      <c:layout/>
      <c:overlay val="false"/>
      <c:spPr>
        <a:noFill/>
        <a:ln>
          <a:noFill/>
        </a:ln>
        <a:effectLst/>
      </c:spPr>
    </c:title>
    <c:autoTitleDeleted val="false"/>
    <c:plotArea>
      <c:layout/>
      <c:doughnutChart>
        <c:varyColors val="true"/>
        <c:ser>
          <c:idx val="0"/>
          <c:order val="0"/>
          <c:spPr/>
          <c:explosion val="0"/>
          <c:dPt>
            <c:idx val="0"/>
            <c:bubble3D val="false"/>
            <c:spPr>
              <a:gradFill>
                <a:gsLst>
                  <a:gs pos="100000">
                    <a:schemeClr val="accent1">
                      <a:lumMod val="60000"/>
                      <a:lumOff val="40000"/>
                    </a:schemeClr>
                  </a:gs>
                  <a:gs pos="0">
                    <a:schemeClr val="accent1"/>
                  </a:gs>
                </a:gsLst>
                <a:lin ang="5400000" scaled="false"/>
              </a:gradFill>
              <a:ln w="19050">
                <a:solidFill>
                  <a:schemeClr val="lt1"/>
                </a:solidFill>
              </a:ln>
              <a:effectLst/>
            </c:spPr>
          </c:dPt>
          <c:dPt>
            <c:idx val="1"/>
            <c:bubble3D val="false"/>
            <c:spPr>
              <a:gradFill>
                <a:gsLst>
                  <a:gs pos="100000">
                    <a:schemeClr val="accent2">
                      <a:lumMod val="60000"/>
                      <a:lumOff val="40000"/>
                    </a:schemeClr>
                  </a:gs>
                  <a:gs pos="0">
                    <a:schemeClr val="accent2"/>
                  </a:gs>
                </a:gsLst>
                <a:lin ang="5400000" scaled="false"/>
              </a:gradFill>
              <a:ln w="19050">
                <a:solidFill>
                  <a:schemeClr val="lt1"/>
                </a:solidFill>
              </a:ln>
              <a:effectLst/>
            </c:spPr>
          </c:dPt>
          <c:dPt>
            <c:idx val="2"/>
            <c:bubble3D val="false"/>
            <c:spPr>
              <a:gradFill>
                <a:gsLst>
                  <a:gs pos="100000">
                    <a:schemeClr val="accent3">
                      <a:lumMod val="60000"/>
                      <a:lumOff val="40000"/>
                    </a:schemeClr>
                  </a:gs>
                  <a:gs pos="0">
                    <a:schemeClr val="accent3"/>
                  </a:gs>
                </a:gsLst>
                <a:lin ang="5400000" scaled="false"/>
              </a:gradFill>
              <a:ln w="19050">
                <a:solidFill>
                  <a:schemeClr val="lt1"/>
                </a:solidFill>
              </a:ln>
              <a:effectLst/>
            </c:spPr>
          </c:dPt>
          <c:dPt>
            <c:idx val="3"/>
            <c:bubble3D val="false"/>
            <c:spPr>
              <a:gradFill>
                <a:gsLst>
                  <a:gs pos="100000">
                    <a:schemeClr val="accent4">
                      <a:lumMod val="60000"/>
                      <a:lumOff val="40000"/>
                    </a:schemeClr>
                  </a:gs>
                  <a:gs pos="0">
                    <a:schemeClr val="accent4"/>
                  </a:gs>
                </a:gsLst>
                <a:lin ang="5400000" scaled="false"/>
              </a:gra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dk1">
                        <a:lumMod val="75000"/>
                        <a:lumOff val="25000"/>
                      </a:schemeClr>
                    </a:solidFill>
                    <a:latin typeface="+mn-lt"/>
                    <a:ea typeface="+mn-ea"/>
                    <a:cs typeface="+mn-cs"/>
                  </a:defRPr>
                </a:pPr>
              </a:p>
            </c:txPr>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chemeClr val="dk1">
                          <a:lumMod val="35000"/>
                          <a:lumOff val="65000"/>
                        </a:schemeClr>
                      </a:solidFill>
                      <a:round/>
                    </a:ln>
                    <a:effectLst/>
                  </c:spPr>
                </c15:leaderLines>
              </c:ext>
            </c:extLst>
          </c:dLbls>
          <c:cat>
            <c:strRef>
              <c:f>[图.xlsx]Sheet1!$N$27:$N$30</c:f>
              <c:strCache>
                <c:ptCount val="4"/>
                <c:pt idx="0">
                  <c:v>社会保障和就业支出</c:v>
                </c:pt>
                <c:pt idx="1">
                  <c:v>卫生健康支出</c:v>
                </c:pt>
                <c:pt idx="2">
                  <c:v>农林水支出</c:v>
                </c:pt>
                <c:pt idx="3">
                  <c:v>住房保障支出</c:v>
                </c:pt>
              </c:strCache>
            </c:strRef>
          </c:cat>
          <c:val>
            <c:numRef>
              <c:f>[图.xlsx]Sheet1!$O$27:$O$30</c:f>
              <c:numCache>
                <c:formatCode>General</c:formatCode>
                <c:ptCount val="4"/>
                <c:pt idx="0">
                  <c:v>47.67</c:v>
                </c:pt>
                <c:pt idx="1">
                  <c:v>16.8</c:v>
                </c:pt>
                <c:pt idx="2">
                  <c:v>333.83</c:v>
                </c:pt>
                <c:pt idx="3">
                  <c:v>22.65</c:v>
                </c:pt>
              </c:numCache>
            </c:numRef>
          </c:val>
        </c:ser>
        <c:dLbls>
          <c:showLegendKey val="false"/>
          <c:showVal val="true"/>
          <c:showCatName val="false"/>
          <c:showSerName val="false"/>
          <c:showPercent val="false"/>
          <c:showBubbleSize val="false"/>
          <c:showLeaderLines val="true"/>
        </c:dLbls>
        <c:firstSliceAng val="0"/>
        <c:holeSize val="70"/>
      </c:doughnutChart>
      <c:spPr>
        <a:noFill/>
        <a:ln>
          <a:noFill/>
        </a:ln>
        <a:effectLst/>
      </c:spPr>
    </c:plotArea>
    <c:legend>
      <c:legendPos val="r"/>
      <c:layout/>
      <c:overlay val="false"/>
      <c:spPr>
        <a:solidFill>
          <a:schemeClr val="lt1">
            <a:alpha val="50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p>
        </c:rich>
      </c:tx>
      <c:layout/>
      <c:overlay val="false"/>
      <c:spPr>
        <a:noFill/>
        <a:ln>
          <a:noFill/>
        </a:ln>
        <a:effectLst/>
      </c:spPr>
    </c:title>
    <c:autoTitleDeleted val="false"/>
    <c:plotArea>
      <c:layout/>
      <c:pieChart>
        <c:varyColors val="true"/>
        <c:ser>
          <c:idx val="0"/>
          <c:order val="0"/>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[图.xlsx]Sheet1!$C$62:$E$62</c:f>
              <c:strCache>
                <c:ptCount val="3"/>
                <c:pt idx="0">
                  <c:v>因公出国（境）费用</c:v>
                </c:pt>
                <c:pt idx="1">
                  <c:v>公务用车购置及运行费</c:v>
                </c:pt>
                <c:pt idx="2">
                  <c:v>公务接待费</c:v>
                </c:pt>
              </c:strCache>
            </c:strRef>
          </c:cat>
          <c:val>
            <c:numRef>
              <c:f>[图.xlsx]Sheet1!$C$63:$E$63</c:f>
              <c:numCache>
                <c:formatCode>0.00_ </c:formatCode>
                <c:ptCount val="3"/>
                <c:pt idx="0">
                  <c:v>0</c:v>
                </c:pt>
                <c:pt idx="1" c:formatCode="General">
                  <c:v>2.76</c:v>
                </c:pt>
                <c:pt idx="2" c:formatCode="General">
                  <c:v>0.07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r"/>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false"/>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false"/>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982d37a-8c30-4185-a85d-3b6d2d703109}"/>
        <w:style w:val=""/>
        <w:category>
          <w:name w:val="常规"/>
          <w:gallery w:val="placeholder"/>
        </w:category>
        <w:types>
          <w:type w:val="bbPlcHdr"/>
        </w:types>
        <w:behaviors>
          <w:behavior w:val="content"/>
        </w:behaviors>
        <w:description w:val=""/>
        <w:guid w:val="{9982d37a-8c30-4185-a85d-3b6d2d703109}"/>
      </w:docPartPr>
      <w:docPartBody>
        <w:p>
          <w:r>
            <w:rPr>
              <w:color w:val="808080"/>
            </w:rPr>
            <w:t>单击此处输入文字。</w:t>
          </w:r>
        </w:p>
      </w:docPartBody>
    </w:docPart>
    <w:docPart>
      <w:docPartPr>
        <w:name w:val="{5cfeb609-ed05-4ec5-9857-371631be8140}"/>
        <w:style w:val=""/>
        <w:category>
          <w:name w:val="常规"/>
          <w:gallery w:val="placeholder"/>
        </w:category>
        <w:types>
          <w:type w:val="bbPlcHdr"/>
        </w:types>
        <w:behaviors>
          <w:behavior w:val="content"/>
        </w:behaviors>
        <w:description w:val=""/>
        <w:guid w:val="{5cfeb609-ed05-4ec5-9857-371631be8140}"/>
      </w:docPartPr>
      <w:docPartBody>
        <w:p>
          <w:r>
            <w:rPr>
              <w:color w:val="808080"/>
            </w:rPr>
            <w:t>单击此处输入文字。</w:t>
          </w:r>
        </w:p>
      </w:docPartBody>
    </w:docPart>
    <w:docPart>
      <w:docPartPr>
        <w:name w:val="{4d49ccce-38f1-4698-b23c-2f3cecaa0fdc}"/>
        <w:style w:val=""/>
        <w:category>
          <w:name w:val="常规"/>
          <w:gallery w:val="placeholder"/>
        </w:category>
        <w:types>
          <w:type w:val="bbPlcHdr"/>
        </w:types>
        <w:behaviors>
          <w:behavior w:val="content"/>
        </w:behaviors>
        <w:description w:val=""/>
        <w:guid w:val="{4d49ccce-38f1-4698-b23c-2f3cecaa0fdc}"/>
      </w:docPartPr>
      <w:docPartBody>
        <w:p>
          <w:r>
            <w:rPr>
              <w:color w:val="808080"/>
            </w:rPr>
            <w:t>单击此处输入文字。</w:t>
          </w:r>
        </w:p>
      </w:docPartBody>
    </w:docPart>
    <w:docPart>
      <w:docPartPr>
        <w:name w:val="{6b13bc7b-8cf1-4837-a8f1-0e3e7696ee5a}"/>
        <w:style w:val=""/>
        <w:category>
          <w:name w:val="常规"/>
          <w:gallery w:val="placeholder"/>
        </w:category>
        <w:types>
          <w:type w:val="bbPlcHdr"/>
        </w:types>
        <w:behaviors>
          <w:behavior w:val="content"/>
        </w:behaviors>
        <w:description w:val=""/>
        <w:guid w:val="{6b13bc7b-8cf1-4837-a8f1-0e3e7696ee5a}"/>
      </w:docPartPr>
      <w:docPartBody>
        <w:p>
          <w:r>
            <w:rPr>
              <w:color w:val="808080"/>
            </w:rPr>
            <w:t>单击此处输入文字。</w:t>
          </w:r>
        </w:p>
      </w:docPartBody>
    </w:docPart>
    <w:docPart>
      <w:docPartPr>
        <w:name w:val="{16fe97f3-a131-4152-be97-fa67122c70bb}"/>
        <w:style w:val=""/>
        <w:category>
          <w:name w:val="常规"/>
          <w:gallery w:val="placeholder"/>
        </w:category>
        <w:types>
          <w:type w:val="bbPlcHdr"/>
        </w:types>
        <w:behaviors>
          <w:behavior w:val="content"/>
        </w:behaviors>
        <w:description w:val=""/>
        <w:guid w:val="{16fe97f3-a131-4152-be97-fa67122c70bb}"/>
      </w:docPartPr>
      <w:docPartBody>
        <w:p>
          <w:r>
            <w:rPr>
              <w:color w:val="808080"/>
            </w:rPr>
            <w:t>单击此处输入文字。</w:t>
          </w:r>
        </w:p>
      </w:docPartBody>
    </w:docPart>
    <w:docPart>
      <w:docPartPr>
        <w:name w:val="{8ec6cb90-2bf0-4177-b753-d69f1722af45}"/>
        <w:style w:val=""/>
        <w:category>
          <w:name w:val="常规"/>
          <w:gallery w:val="placeholder"/>
        </w:category>
        <w:types>
          <w:type w:val="bbPlcHdr"/>
        </w:types>
        <w:behaviors>
          <w:behavior w:val="content"/>
        </w:behaviors>
        <w:description w:val=""/>
        <w:guid w:val="{8ec6cb90-2bf0-4177-b753-d69f1722af45}"/>
      </w:docPartPr>
      <w:docPartBody>
        <w:p>
          <w:r>
            <w:rPr>
              <w:color w:val="808080"/>
            </w:rPr>
            <w:t>单击此处输入文字。</w:t>
          </w:r>
        </w:p>
      </w:docPartBody>
    </w:docPart>
    <w:docPart>
      <w:docPartPr>
        <w:name w:val="{41aea8a5-2815-48c7-935e-a986fdf002b1}"/>
        <w:style w:val=""/>
        <w:category>
          <w:name w:val="常规"/>
          <w:gallery w:val="placeholder"/>
        </w:category>
        <w:types>
          <w:type w:val="bbPlcHdr"/>
        </w:types>
        <w:behaviors>
          <w:behavior w:val="content"/>
        </w:behaviors>
        <w:description w:val=""/>
        <w:guid w:val="{41aea8a5-2815-48c7-935e-a986fdf002b1}"/>
      </w:docPartPr>
      <w:docPartBody>
        <w:p>
          <w:r>
            <w:rPr>
              <w:color w:val="808080"/>
            </w:rPr>
            <w:t>单击此处输入文字。</w:t>
          </w:r>
        </w:p>
      </w:docPartBody>
    </w:docPart>
    <w:docPart>
      <w:docPartPr>
        <w:name w:val="{d0391beb-8a81-4f73-ac5b-361ff72dfe89}"/>
        <w:style w:val=""/>
        <w:category>
          <w:name w:val="常规"/>
          <w:gallery w:val="placeholder"/>
        </w:category>
        <w:types>
          <w:type w:val="bbPlcHdr"/>
        </w:types>
        <w:behaviors>
          <w:behavior w:val="content"/>
        </w:behaviors>
        <w:description w:val=""/>
        <w:guid w:val="{d0391beb-8a81-4f73-ac5b-361ff72dfe89}"/>
      </w:docPartPr>
      <w:docPartBody>
        <w:p>
          <w:r>
            <w:rPr>
              <w:color w:val="808080"/>
            </w:rPr>
            <w:t>单击此处输入文字。</w:t>
          </w:r>
        </w:p>
      </w:docPartBody>
    </w:docPart>
    <w:docPart>
      <w:docPartPr>
        <w:name w:val="{7bc3dc61-cb02-44ac-ae9e-f3aebe4ddb00}"/>
        <w:style w:val=""/>
        <w:category>
          <w:name w:val="常规"/>
          <w:gallery w:val="placeholder"/>
        </w:category>
        <w:types>
          <w:type w:val="bbPlcHdr"/>
        </w:types>
        <w:behaviors>
          <w:behavior w:val="content"/>
        </w:behaviors>
        <w:description w:val=""/>
        <w:guid w:val="{7bc3dc61-cb02-44ac-ae9e-f3aebe4ddb00}"/>
      </w:docPartPr>
      <w:docPartBody>
        <w:p>
          <w:r>
            <w:rPr>
              <w:color w:val="808080"/>
            </w:rPr>
            <w:t>单击此处输入文字。</w:t>
          </w:r>
        </w:p>
      </w:docPartBody>
    </w:docPart>
    <w:docPart>
      <w:docPartPr>
        <w:name w:val="{50c0a7cc-6720-490d-9937-ae9c296fccdc}"/>
        <w:style w:val=""/>
        <w:category>
          <w:name w:val="常规"/>
          <w:gallery w:val="placeholder"/>
        </w:category>
        <w:types>
          <w:type w:val="bbPlcHdr"/>
        </w:types>
        <w:behaviors>
          <w:behavior w:val="content"/>
        </w:behaviors>
        <w:description w:val=""/>
        <w:guid w:val="{50c0a7cc-6720-490d-9937-ae9c296fccdc}"/>
      </w:docPartPr>
      <w:docPartBody>
        <w:p>
          <w:r>
            <w:rPr>
              <w:color w:val="808080"/>
            </w:rPr>
            <w:t>单击此处输入文字。</w:t>
          </w:r>
        </w:p>
      </w:docPartBody>
    </w:docPart>
    <w:docPart>
      <w:docPartPr>
        <w:name w:val="{9622d1cf-25e5-4d72-bfe6-f9391dc191bd}"/>
        <w:style w:val=""/>
        <w:category>
          <w:name w:val="常规"/>
          <w:gallery w:val="placeholder"/>
        </w:category>
        <w:types>
          <w:type w:val="bbPlcHdr"/>
        </w:types>
        <w:behaviors>
          <w:behavior w:val="content"/>
        </w:behaviors>
        <w:description w:val=""/>
        <w:guid w:val="{9622d1cf-25e5-4d72-bfe6-f9391dc191bd}"/>
      </w:docPartPr>
      <w:docPartBody>
        <w:p>
          <w:r>
            <w:rPr>
              <w:color w:val="808080"/>
            </w:rPr>
            <w:t>单击此处输入文字。</w:t>
          </w:r>
        </w:p>
      </w:docPartBody>
    </w:docPart>
    <w:docPart>
      <w:docPartPr>
        <w:name w:val="{ace4e538-1c3a-41b6-bf49-0b4c0eb470d0}"/>
        <w:style w:val=""/>
        <w:category>
          <w:name w:val="常规"/>
          <w:gallery w:val="placeholder"/>
        </w:category>
        <w:types>
          <w:type w:val="bbPlcHdr"/>
        </w:types>
        <w:behaviors>
          <w:behavior w:val="content"/>
        </w:behaviors>
        <w:description w:val=""/>
        <w:guid w:val="{ace4e538-1c3a-41b6-bf49-0b4c0eb470d0}"/>
      </w:docPartPr>
      <w:docPartBody>
        <w:p>
          <w:r>
            <w:rPr>
              <w:color w:val="808080"/>
            </w:rPr>
            <w:t>单击此处输入文字。</w:t>
          </w:r>
        </w:p>
      </w:docPartBody>
    </w:docPart>
    <w:docPart>
      <w:docPartPr>
        <w:name w:val="{68182017-1dbb-443c-805c-f341f07e839f}"/>
        <w:style w:val=""/>
        <w:category>
          <w:name w:val="常规"/>
          <w:gallery w:val="placeholder"/>
        </w:category>
        <w:types>
          <w:type w:val="bbPlcHdr"/>
        </w:types>
        <w:behaviors>
          <w:behavior w:val="content"/>
        </w:behaviors>
        <w:description w:val=""/>
        <w:guid w:val="{68182017-1dbb-443c-805c-f341f07e839f}"/>
      </w:docPartPr>
      <w:docPartBody>
        <w:p>
          <w:r>
            <w:rPr>
              <w:color w:val="808080"/>
            </w:rPr>
            <w:t>单击此处输入文字。</w:t>
          </w:r>
        </w:p>
      </w:docPartBody>
    </w:docPart>
    <w:docPart>
      <w:docPartPr>
        <w:name w:val="{1e0bddb1-c631-4491-9a71-92d42dbedad7}"/>
        <w:style w:val=""/>
        <w:category>
          <w:name w:val="常规"/>
          <w:gallery w:val="placeholder"/>
        </w:category>
        <w:types>
          <w:type w:val="bbPlcHdr"/>
        </w:types>
        <w:behaviors>
          <w:behavior w:val="content"/>
        </w:behaviors>
        <w:description w:val=""/>
        <w:guid w:val="{1e0bddb1-c631-4491-9a71-92d42dbedad7}"/>
      </w:docPartPr>
      <w:docPartBody>
        <w:p>
          <w:r>
            <w:rPr>
              <w:color w:val="808080"/>
            </w:rPr>
            <w:t>单击此处输入文字。</w:t>
          </w:r>
        </w:p>
      </w:docPartBody>
    </w:docPart>
    <w:docPart>
      <w:docPartPr>
        <w:name w:val="{9794a5e6-3e4e-461f-a2e4-4330a8a8c563}"/>
        <w:style w:val=""/>
        <w:category>
          <w:name w:val="常规"/>
          <w:gallery w:val="placeholder"/>
        </w:category>
        <w:types>
          <w:type w:val="bbPlcHdr"/>
        </w:types>
        <w:behaviors>
          <w:behavior w:val="content"/>
        </w:behaviors>
        <w:description w:val=""/>
        <w:guid w:val="{9794a5e6-3e4e-461f-a2e4-4330a8a8c563}"/>
      </w:docPartPr>
      <w:docPartBody>
        <w:p>
          <w:r>
            <w:rPr>
              <w:color w:val="808080"/>
            </w:rPr>
            <w:t>单击此处输入文字。</w:t>
          </w:r>
        </w:p>
      </w:docPartBody>
    </w:docPart>
    <w:docPart>
      <w:docPartPr>
        <w:name w:val="{dc80d704-66c8-4533-bbf8-910710caf9d7}"/>
        <w:style w:val=""/>
        <w:category>
          <w:name w:val="常规"/>
          <w:gallery w:val="placeholder"/>
        </w:category>
        <w:types>
          <w:type w:val="bbPlcHdr"/>
        </w:types>
        <w:behaviors>
          <w:behavior w:val="content"/>
        </w:behaviors>
        <w:description w:val=""/>
        <w:guid w:val="{dc80d704-66c8-4533-bbf8-910710caf9d7}"/>
      </w:docPartPr>
      <w:docPartBody>
        <w:p>
          <w:r>
            <w:rPr>
              <w:color w:val="808080"/>
            </w:rPr>
            <w:t>单击此处输入文字。</w:t>
          </w:r>
        </w:p>
      </w:docPartBody>
    </w:docPart>
    <w:docPart>
      <w:docPartPr>
        <w:name w:val="{0896043e-16ed-4cce-be32-a578f02eb55d}"/>
        <w:style w:val=""/>
        <w:category>
          <w:name w:val="常规"/>
          <w:gallery w:val="placeholder"/>
        </w:category>
        <w:types>
          <w:type w:val="bbPlcHdr"/>
        </w:types>
        <w:behaviors>
          <w:behavior w:val="content"/>
        </w:behaviors>
        <w:description w:val=""/>
        <w:guid w:val="{0896043e-16ed-4cce-be32-a578f02eb55d}"/>
      </w:docPartPr>
      <w:docPartBody>
        <w:p>
          <w:r>
            <w:rPr>
              <w:color w:val="808080"/>
            </w:rPr>
            <w:t>单击此处输入文字。</w:t>
          </w:r>
        </w:p>
      </w:docPartBody>
    </w:docPart>
    <w:docPart>
      <w:docPartPr>
        <w:name w:val="{b03bb199-8a5e-4852-9f6a-2a78cfe65d42}"/>
        <w:style w:val=""/>
        <w:category>
          <w:name w:val="常规"/>
          <w:gallery w:val="placeholder"/>
        </w:category>
        <w:types>
          <w:type w:val="bbPlcHdr"/>
        </w:types>
        <w:behaviors>
          <w:behavior w:val="content"/>
        </w:behaviors>
        <w:description w:val=""/>
        <w:guid w:val="{b03bb199-8a5e-4852-9f6a-2a78cfe65d42}"/>
      </w:docPartPr>
      <w:docPartBody>
        <w:p>
          <w:r>
            <w:rPr>
              <w:color w:val="808080"/>
            </w:rPr>
            <w:t>单击此处输入文字。</w:t>
          </w:r>
        </w:p>
      </w:docPartBody>
    </w:docPart>
    <w:docPart>
      <w:docPartPr>
        <w:name w:val="{85af4916-a7dc-42e5-a835-aded0b5db646}"/>
        <w:style w:val=""/>
        <w:category>
          <w:name w:val="常规"/>
          <w:gallery w:val="placeholder"/>
        </w:category>
        <w:types>
          <w:type w:val="bbPlcHdr"/>
        </w:types>
        <w:behaviors>
          <w:behavior w:val="content"/>
        </w:behaviors>
        <w:description w:val=""/>
        <w:guid w:val="{85af4916-a7dc-42e5-a835-aded0b5db646}"/>
      </w:docPartPr>
      <w:docPartBody>
        <w:p>
          <w:r>
            <w:rPr>
              <w:color w:val="808080"/>
            </w:rPr>
            <w:t>单击此处输入文字。</w:t>
          </w:r>
        </w:p>
      </w:docPartBody>
    </w:docPart>
    <w:docPart>
      <w:docPartPr>
        <w:name w:val="{fa7cde0e-bacd-4171-83ab-27a84792d728}"/>
        <w:style w:val=""/>
        <w:category>
          <w:name w:val="常规"/>
          <w:gallery w:val="placeholder"/>
        </w:category>
        <w:types>
          <w:type w:val="bbPlcHdr"/>
        </w:types>
        <w:behaviors>
          <w:behavior w:val="content"/>
        </w:behaviors>
        <w:description w:val=""/>
        <w:guid w:val="{fa7cde0e-bacd-4171-83ab-27a84792d728}"/>
      </w:docPartPr>
      <w:docPartBody>
        <w:p>
          <w:r>
            <w:rPr>
              <w:color w:val="808080"/>
            </w:rPr>
            <w:t>单击此处输入文字。</w:t>
          </w:r>
        </w:p>
      </w:docPartBody>
    </w:docPart>
    <w:docPart>
      <w:docPartPr>
        <w:name w:val="{df832b95-38ea-4b20-8ee4-0dcc30288962}"/>
        <w:style w:val=""/>
        <w:category>
          <w:name w:val="常规"/>
          <w:gallery w:val="placeholder"/>
        </w:category>
        <w:types>
          <w:type w:val="bbPlcHdr"/>
        </w:types>
        <w:behaviors>
          <w:behavior w:val="content"/>
        </w:behaviors>
        <w:description w:val=""/>
        <w:guid w:val="{df832b95-38ea-4b20-8ee4-0dcc30288962}"/>
      </w:docPartPr>
      <w:docPartBody>
        <w:p>
          <w:r>
            <w:rPr>
              <w:color w:val="808080"/>
            </w:rPr>
            <w:t>单击此处输入文字。</w:t>
          </w:r>
        </w:p>
      </w:docPartBody>
    </w:docPart>
    <w:docPart>
      <w:docPartPr>
        <w:name w:val="{e4fe7e5b-fdec-43e5-8926-d4b339ba666a}"/>
        <w:style w:val=""/>
        <w:category>
          <w:name w:val="常规"/>
          <w:gallery w:val="placeholder"/>
        </w:category>
        <w:types>
          <w:type w:val="bbPlcHdr"/>
        </w:types>
        <w:behaviors>
          <w:behavior w:val="content"/>
        </w:behaviors>
        <w:description w:val=""/>
        <w:guid w:val="{e4fe7e5b-fdec-43e5-8926-d4b339ba666a}"/>
      </w:docPartPr>
      <w:docPartBody>
        <w:p>
          <w:r>
            <w:rPr>
              <w:color w:val="808080"/>
            </w:rPr>
            <w:t>单击此处输入文字。</w:t>
          </w:r>
        </w:p>
      </w:docPartBody>
    </w:docPart>
    <w:docPart>
      <w:docPartPr>
        <w:name w:val="{2fc85b95-a85b-41a2-bd5d-e04d3197010a}"/>
        <w:style w:val=""/>
        <w:category>
          <w:name w:val="常规"/>
          <w:gallery w:val="placeholder"/>
        </w:category>
        <w:types>
          <w:type w:val="bbPlcHdr"/>
        </w:types>
        <w:behaviors>
          <w:behavior w:val="content"/>
        </w:behaviors>
        <w:description w:val=""/>
        <w:guid w:val="{2fc85b95-a85b-41a2-bd5d-e04d3197010a}"/>
      </w:docPartPr>
      <w:docPartBody>
        <w:p>
          <w:r>
            <w:rPr>
              <w:color w:val="808080"/>
            </w:rPr>
            <w:t>单击此处输入文字。</w:t>
          </w:r>
        </w:p>
      </w:docPartBody>
    </w:docPart>
    <w:docPart>
      <w:docPartPr>
        <w:name w:val="{6caba638-a5eb-4448-a8e9-daef17e777df}"/>
        <w:style w:val=""/>
        <w:category>
          <w:name w:val="常规"/>
          <w:gallery w:val="placeholder"/>
        </w:category>
        <w:types>
          <w:type w:val="bbPlcHdr"/>
        </w:types>
        <w:behaviors>
          <w:behavior w:val="content"/>
        </w:behaviors>
        <w:description w:val=""/>
        <w:guid w:val="{6caba638-a5eb-4448-a8e9-daef17e777df}"/>
      </w:docPartPr>
      <w:docPartBody>
        <w:p>
          <w:r>
            <w:rPr>
              <w:color w:val="808080"/>
            </w:rPr>
            <w:t>单击此处输入文字。</w:t>
          </w:r>
        </w:p>
      </w:docPartBody>
    </w:docPart>
    <w:docPart>
      <w:docPartPr>
        <w:name w:val="{fdc22216-f666-45d5-bcba-3f0d4728b33f}"/>
        <w:style w:val=""/>
        <w:category>
          <w:name w:val="常规"/>
          <w:gallery w:val="placeholder"/>
        </w:category>
        <w:types>
          <w:type w:val="bbPlcHdr"/>
        </w:types>
        <w:behaviors>
          <w:behavior w:val="content"/>
        </w:behaviors>
        <w:description w:val=""/>
        <w:guid w:val="{fdc22216-f666-45d5-bcba-3f0d4728b33f}"/>
      </w:docPartPr>
      <w:docPartBody>
        <w:p>
          <w:r>
            <w:rPr>
              <w:color w:val="808080"/>
            </w:rPr>
            <w:t>单击此处输入文字。</w:t>
          </w:r>
        </w:p>
      </w:docPartBody>
    </w:docPart>
    <w:docPart>
      <w:docPartPr>
        <w:name w:val="{9af12987-376b-491f-af6d-26783a1fccff}"/>
        <w:style w:val=""/>
        <w:category>
          <w:name w:val="常规"/>
          <w:gallery w:val="placeholder"/>
        </w:category>
        <w:types>
          <w:type w:val="bbPlcHdr"/>
        </w:types>
        <w:behaviors>
          <w:behavior w:val="content"/>
        </w:behaviors>
        <w:description w:val=""/>
        <w:guid w:val="{9af12987-376b-491f-af6d-26783a1fccff}"/>
      </w:docPartPr>
      <w:docPartBody>
        <w:p>
          <w:r>
            <w:rPr>
              <w:color w:val="808080"/>
            </w:rPr>
            <w:t>单击此处输入文字。</w:t>
          </w:r>
        </w:p>
      </w:docPartBody>
    </w:docPart>
    <w:docPart>
      <w:docPartPr>
        <w:name w:val="{5087ff7c-d523-4721-b6c6-aa0299df85f4}"/>
        <w:style w:val=""/>
        <w:category>
          <w:name w:val="常规"/>
          <w:gallery w:val="placeholder"/>
        </w:category>
        <w:types>
          <w:type w:val="bbPlcHdr"/>
        </w:types>
        <w:behaviors>
          <w:behavior w:val="content"/>
        </w:behaviors>
        <w:description w:val=""/>
        <w:guid w:val="{5087ff7c-d523-4721-b6c6-aa0299df85f4}"/>
      </w:docPartPr>
      <w:docPartBody>
        <w:p>
          <w:r>
            <w:rPr>
              <w:color w:val="808080"/>
            </w:rPr>
            <w:t>单击此处输入文字。</w:t>
          </w:r>
        </w:p>
      </w:docPartBody>
    </w:docPart>
    <w:docPart>
      <w:docPartPr>
        <w:name w:val="{6183026e-6d26-466b-a026-43c121366ffc}"/>
        <w:style w:val=""/>
        <w:category>
          <w:name w:val="常规"/>
          <w:gallery w:val="placeholder"/>
        </w:category>
        <w:types>
          <w:type w:val="bbPlcHdr"/>
        </w:types>
        <w:behaviors>
          <w:behavior w:val="content"/>
        </w:behaviors>
        <w:description w:val=""/>
        <w:guid w:val="{6183026e-6d26-466b-a026-43c121366ffc}"/>
      </w:docPartPr>
      <w:docPartBody>
        <w:p>
          <w:r>
            <w:rPr>
              <w:color w:val="808080"/>
            </w:rPr>
            <w:t>单击此处输入文字。</w:t>
          </w:r>
        </w:p>
      </w:docPartBody>
    </w:docPart>
    <w:docPart>
      <w:docPartPr>
        <w:name w:val="{e947d791-9e89-483c-a2d9-c3fcf40ba78f}"/>
        <w:style w:val=""/>
        <w:category>
          <w:name w:val="常规"/>
          <w:gallery w:val="placeholder"/>
        </w:category>
        <w:types>
          <w:type w:val="bbPlcHdr"/>
        </w:types>
        <w:behaviors>
          <w:behavior w:val="content"/>
        </w:behaviors>
        <w:description w:val=""/>
        <w:guid w:val="{e947d791-9e89-483c-a2d9-c3fcf40ba78f}"/>
      </w:docPartPr>
      <w:docPartBody>
        <w:p>
          <w:r>
            <w:rPr>
              <w:color w:val="808080"/>
            </w:rPr>
            <w:t>单击此处输入文字。</w:t>
          </w:r>
        </w:p>
      </w:docPartBody>
    </w:docPart>
    <w:docPart>
      <w:docPartPr>
        <w:name w:val="{edda69ab-d467-4e44-b544-feb69a2d4e41}"/>
        <w:style w:val=""/>
        <w:category>
          <w:name w:val="常规"/>
          <w:gallery w:val="placeholder"/>
        </w:category>
        <w:types>
          <w:type w:val="bbPlcHdr"/>
        </w:types>
        <w:behaviors>
          <w:behavior w:val="content"/>
        </w:behaviors>
        <w:description w:val=""/>
        <w:guid w:val="{edda69ab-d467-4e44-b544-feb69a2d4e41}"/>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1299</Words>
  <Characters>7410</Characters>
  <Lines>61</Lines>
  <Paragraphs>17</Paragraphs>
  <TotalTime>21</TotalTime>
  <ScaleCrop>false</ScaleCrop>
  <LinksUpToDate>false</LinksUpToDate>
  <CharactersWithSpaces>8692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2020-08-09T01:49:00Z</dcterms:created>
  <dc:creator>曹颖</dc:creator>
  <cp:lastModifiedBy>user</cp:lastModifiedBy>
  <cp:lastPrinted>2026-08-03T17:27:00Z</cp:lastPrinted>
  <dcterms:modified xsi:type="dcterms:W3CDTF">2026-09-11T10:03:40Z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400D301575C74348A5277D00A7902E06</vt:lpwstr>
  </property>
</Properties>
</file>