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bookmarkStart w:id="0" w:name="_Toc15396597"/>
      <w:bookmarkStart w:id="1" w:name="_Toc15377193"/>
      <w:bookmarkStart w:id="2" w:name="_Toc15377425"/>
      <w:bookmarkStart w:id="3" w:name="_Toc15396475"/>
      <w:bookmarkStart w:id="4" w:name="_Toc15378441"/>
      <w:bookmarkStart w:id="5" w:name="_Toc15306267"/>
    </w:p>
    <w:p>
      <w:pPr>
        <w:pStyle w:val="2"/>
        <w:spacing w:before="93"/>
        <w:jc w:val="center"/>
        <w:rPr>
          <w:rFonts w:hint="default" w:ascii="Times New Roman" w:hAnsi="Times New Roman" w:eastAsia="方正小标宋简体" w:cs="Times New Roman"/>
          <w:kern w:val="2"/>
          <w:sz w:val="44"/>
          <w:szCs w:val="44"/>
        </w:rPr>
      </w:pPr>
    </w:p>
    <w:p>
      <w:pPr>
        <w:pStyle w:val="2"/>
        <w:spacing w:before="93"/>
        <w:jc w:val="center"/>
        <w:rPr>
          <w:rFonts w:hint="default" w:ascii="Times New Roman" w:hAnsi="Times New Roman" w:eastAsia="方正小标宋简体" w:cs="Times New Roman"/>
          <w:kern w:val="2"/>
          <w:sz w:val="44"/>
          <w:szCs w:val="44"/>
        </w:rPr>
      </w:pPr>
    </w:p>
    <w:p>
      <w:pPr>
        <w:pStyle w:val="2"/>
        <w:spacing w:before="93"/>
        <w:jc w:val="center"/>
        <w:rPr>
          <w:rFonts w:hint="default" w:ascii="Times New Roman" w:hAnsi="Times New Roman" w:eastAsia="方正小标宋简体" w:cs="Times New Roman"/>
          <w:kern w:val="2"/>
          <w:sz w:val="44"/>
          <w:szCs w:val="44"/>
        </w:rPr>
      </w:pPr>
    </w:p>
    <w:p>
      <w:pPr>
        <w:pStyle w:val="2"/>
        <w:spacing w:before="93"/>
        <w:jc w:val="center"/>
        <w:rPr>
          <w:rFonts w:hint="default" w:ascii="Times New Roman" w:hAnsi="Times New Roman" w:eastAsia="方正小标宋简体" w:cs="Times New Roman"/>
          <w:kern w:val="2"/>
          <w:sz w:val="44"/>
          <w:szCs w:val="44"/>
        </w:rPr>
      </w:pPr>
    </w:p>
    <w:bookmarkEnd w:id="0"/>
    <w:bookmarkEnd w:id="1"/>
    <w:bookmarkEnd w:id="2"/>
    <w:bookmarkEnd w:id="3"/>
    <w:bookmarkEnd w:id="4"/>
    <w:p>
      <w:pPr>
        <w:pStyle w:val="2"/>
        <w:spacing w:before="93"/>
        <w:jc w:val="center"/>
        <w:rPr>
          <w:rFonts w:hint="default" w:ascii="Times New Roman" w:hAnsi="Times New Roman" w:eastAsia="方正小标宋简体" w:cs="Times New Roman"/>
          <w:kern w:val="2"/>
          <w:sz w:val="44"/>
          <w:szCs w:val="44"/>
        </w:rPr>
      </w:pPr>
      <w:bookmarkStart w:id="6" w:name="_Toc15396476"/>
      <w:bookmarkStart w:id="7" w:name="_Toc15377426"/>
      <w:bookmarkStart w:id="8" w:name="_Toc15377194"/>
      <w:bookmarkStart w:id="9" w:name="_Toc15396598"/>
      <w:bookmarkStart w:id="10" w:name="_Toc15378442"/>
      <w:r>
        <w:rPr>
          <w:rFonts w:hint="default" w:ascii="Times New Roman" w:hAnsi="Times New Roman" w:eastAsia="方正小标宋简体" w:cs="Times New Roman"/>
          <w:kern w:val="2"/>
          <w:sz w:val="44"/>
          <w:szCs w:val="44"/>
        </w:rPr>
        <w:t>2025年度攀枝花市</w:t>
      </w:r>
      <w:bookmarkEnd w:id="5"/>
      <w:bookmarkStart w:id="11" w:name="_Toc15306268"/>
      <w:r>
        <w:rPr>
          <w:rFonts w:hint="default" w:ascii="Times New Roman" w:hAnsi="Times New Roman" w:eastAsia="方正小标宋简体" w:cs="Times New Roman"/>
          <w:kern w:val="2"/>
          <w:sz w:val="44"/>
          <w:szCs w:val="44"/>
          <w:lang w:eastAsia="zh-CN"/>
        </w:rPr>
        <w:t>农业农村局</w:t>
      </w:r>
      <w:r>
        <w:rPr>
          <w:rFonts w:hint="default" w:ascii="Times New Roman" w:hAnsi="Times New Roman" w:eastAsia="方正小标宋简体" w:cs="Times New Roman"/>
          <w:kern w:val="2"/>
          <w:sz w:val="44"/>
          <w:szCs w:val="44"/>
        </w:rPr>
        <w:t>部门决算</w:t>
      </w:r>
      <w:bookmarkEnd w:id="6"/>
      <w:bookmarkEnd w:id="7"/>
      <w:bookmarkEnd w:id="8"/>
      <w:bookmarkEnd w:id="9"/>
      <w:bookmarkEnd w:id="10"/>
      <w:bookmarkEnd w:id="11"/>
    </w:p>
    <w:p>
      <w:pPr>
        <w:widowControl/>
        <w:jc w:val="center"/>
        <w:rPr>
          <w:rFonts w:hint="default" w:ascii="Times New Roman" w:hAnsi="Times New Roman" w:eastAsia="黑体" w:cs="Times New Roman"/>
          <w:sz w:val="48"/>
          <w:szCs w:val="48"/>
        </w:rPr>
        <w:sectPr>
          <w:headerReference r:id="rId3" w:type="default"/>
          <w:footerReference r:id="rId4" w:type="default"/>
          <w:footerReference r:id="rId5" w:type="even"/>
          <w:pgSz w:w="11906" w:h="16838"/>
          <w:pgMar w:top="1440" w:right="1800" w:bottom="1440" w:left="1800" w:header="851" w:footer="992" w:gutter="0"/>
          <w:pgNumType w:fmt="decimal" w:start="1"/>
          <w:cols w:space="425" w:num="1"/>
          <w:titlePg/>
          <w:docGrid w:type="lines" w:linePitch="312" w:charSpace="0"/>
        </w:sectPr>
      </w:pPr>
    </w:p>
    <w:p>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widowControl/>
        <w:jc w:val="center"/>
        <w:rPr>
          <w:rFonts w:hint="default" w:ascii="Times New Roman" w:hAnsi="Times New Roman" w:eastAsia="黑体" w:cs="Times New Roman"/>
          <w:sz w:val="28"/>
          <w:szCs w:val="28"/>
        </w:rPr>
      </w:pPr>
    </w:p>
    <w:p>
      <w:pPr>
        <w:pStyle w:val="1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公开时间：2026年 </w:t>
      </w:r>
      <w:r>
        <w:rPr>
          <w:rFonts w:hint="default" w:ascii="Times New Roman" w:hAnsi="Times New Roman" w:eastAsia="仿宋_GB2312" w:cs="Times New Roman"/>
          <w:sz w:val="32"/>
          <w:szCs w:val="32"/>
          <w:lang w:val="en"/>
        </w:rPr>
        <w:t>9</w:t>
      </w:r>
      <w:r>
        <w:rPr>
          <w:rFonts w:hint="default" w:ascii="Times New Roman" w:hAnsi="Times New Roman" w:eastAsia="仿宋_GB2312" w:cs="Times New Roman"/>
          <w:sz w:val="32"/>
          <w:szCs w:val="32"/>
        </w:rPr>
        <w:t xml:space="preserve"> 月 </w:t>
      </w:r>
      <w:r>
        <w:rPr>
          <w:rFonts w:hint="default" w:ascii="Times New Roman" w:hAnsi="Times New Roman" w:eastAsia="仿宋_GB2312" w:cs="Times New Roman"/>
          <w:sz w:val="32"/>
          <w:szCs w:val="32"/>
          <w:lang w:val="en"/>
        </w:rPr>
        <w:t>11</w:t>
      </w:r>
      <w:r>
        <w:rPr>
          <w:rFonts w:hint="default" w:ascii="Times New Roman" w:hAnsi="Times New Roman" w:eastAsia="仿宋_GB2312" w:cs="Times New Roman"/>
          <w:sz w:val="32"/>
          <w:szCs w:val="32"/>
        </w:rPr>
        <w:t xml:space="preserve"> 日</w:t>
      </w:r>
    </w:p>
    <w:sdt>
      <w:sdtPr>
        <w:rPr>
          <w:rFonts w:hint="default" w:ascii="Times New Roman" w:hAnsi="Times New Roman" w:eastAsia="宋体" w:cs="Times New Roman"/>
          <w:kern w:val="2"/>
          <w:sz w:val="21"/>
          <w:szCs w:val="24"/>
          <w:lang w:val="en-US" w:eastAsia="zh-CN" w:bidi="ar-SA"/>
        </w:rPr>
        <w:id w:val="147483040"/>
        <w:docPartObj>
          <w:docPartGallery w:val="Table of Contents"/>
          <w:docPartUnique/>
        </w:docPartObj>
      </w:sdtPr>
      <w:sdtEndPr>
        <w:rPr>
          <w:rFonts w:hint="default" w:ascii="Times New Roman" w:hAnsi="Times New Roman" w:eastAsia="宋体" w:cs="Times New Roman"/>
          <w:kern w:val="2"/>
          <w:sz w:val="20"/>
          <w:szCs w:val="20"/>
          <w:lang w:val="en-US" w:eastAsia="zh-CN" w:bidi="ar-SA"/>
        </w:rPr>
      </w:sdtEndPr>
      <w:sdtContent>
        <w:p>
          <w:pPr>
            <w:pStyle w:val="12"/>
            <w:adjustRightInd w:val="0"/>
            <w:snapToGrid w:val="0"/>
            <w:spacing w:before="0" w:line="560" w:lineRule="exact"/>
            <w:jc w:val="left"/>
            <w:rPr>
              <w:rFonts w:hint="default" w:ascii="Times New Roman" w:hAnsi="Times New Roman" w:eastAsia="黑体" w:cs="Times New Roman"/>
              <w:sz w:val="32"/>
              <w:szCs w:val="32"/>
            </w:rPr>
          </w:pPr>
          <w:bookmarkStart w:id="12" w:name="_Toc188885661_WPSOffice_Type2"/>
          <w:bookmarkStart w:id="13" w:name="_Toc15396599"/>
          <w:bookmarkStart w:id="14" w:name="_Toc15377196"/>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_Toc383368984_WPSOffice_Level1 </w:instrText>
          </w:r>
          <w:r>
            <w:rPr>
              <w:rFonts w:hint="default" w:ascii="Times New Roman" w:hAnsi="Times New Roman" w:eastAsia="黑体" w:cs="Times New Roman"/>
              <w:sz w:val="32"/>
              <w:szCs w:val="32"/>
            </w:rPr>
            <w:fldChar w:fldCharType="separate"/>
          </w:r>
          <w:sdt>
            <w:sdtPr>
              <w:rPr>
                <w:rFonts w:hint="default" w:ascii="Times New Roman" w:hAnsi="Times New Roman" w:eastAsia="黑体" w:cs="Times New Roman"/>
                <w:sz w:val="32"/>
                <w:szCs w:val="32"/>
                <w:lang w:val="en-US" w:eastAsia="zh-CN"/>
              </w:rPr>
              <w:id w:val="105506125"/>
              <w:placeholder>
                <w:docPart w:val="{73b2df8d-2cba-4aef-b9ab-5a86d49d10e1}"/>
              </w:placeholder>
            </w:sdtPr>
            <w:sdtEndPr>
              <w:rPr>
                <w:rFonts w:hint="default" w:ascii="Times New Roman" w:hAnsi="Times New Roman" w:eastAsia="黑体" w:cs="Times New Roman"/>
                <w:sz w:val="32"/>
                <w:szCs w:val="32"/>
                <w:lang w:val="en-US" w:eastAsia="zh-CN"/>
              </w:rPr>
            </w:sdtEndPr>
            <w:sdtContent>
              <w:r>
                <w:rPr>
                  <w:rFonts w:hint="default" w:ascii="Times New Roman" w:hAnsi="Times New Roman" w:eastAsia="黑体" w:cs="Times New Roman"/>
                  <w:sz w:val="32"/>
                  <w:szCs w:val="32"/>
                </w:rPr>
                <w:t>第一部分  部门概况</w:t>
              </w:r>
            </w:sdtContent>
          </w:sdt>
          <w:r>
            <w:rPr>
              <w:rFonts w:hint="default" w:ascii="Times New Roman" w:hAnsi="Times New Roman" w:eastAsia="黑体" w:cs="Times New Roman"/>
              <w:sz w:val="32"/>
              <w:szCs w:val="32"/>
            </w:rPr>
            <w:tab/>
          </w:r>
          <w:bookmarkStart w:id="15" w:name="_Toc383368984_WPSOffice_Level1Page"/>
          <w:r>
            <w:rPr>
              <w:rFonts w:hint="default" w:ascii="Times New Roman" w:hAnsi="Times New Roman" w:eastAsia="黑体" w:cs="Times New Roman"/>
              <w:sz w:val="32"/>
              <w:szCs w:val="32"/>
            </w:rPr>
            <w:t>2</w:t>
          </w:r>
          <w:bookmarkEnd w:id="15"/>
          <w:r>
            <w:rPr>
              <w:rFonts w:hint="default" w:ascii="Times New Roman" w:hAnsi="Times New Roman" w:eastAsia="黑体"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_Toc188885661_WPSOffice_Level2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6471"/>
              <w:placeholder>
                <w:docPart w:val="{f969308f-245c-4833-823b-6541520f7a70}"/>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一、部门职责</w:t>
              </w:r>
            </w:sdtContent>
          </w:sdt>
          <w:r>
            <w:rPr>
              <w:rFonts w:hint="default" w:ascii="Times New Roman" w:hAnsi="Times New Roman" w:eastAsia="仿宋_GB2312" w:cs="Times New Roman"/>
              <w:sz w:val="32"/>
              <w:szCs w:val="32"/>
            </w:rPr>
            <w:tab/>
          </w:r>
          <w:bookmarkStart w:id="16" w:name="_Toc188885661_WPSOffice_Level2Page"/>
          <w:r>
            <w:rPr>
              <w:rFonts w:hint="default" w:ascii="Times New Roman" w:hAnsi="Times New Roman" w:eastAsia="仿宋_GB2312" w:cs="Times New Roman"/>
              <w:sz w:val="32"/>
              <w:szCs w:val="32"/>
            </w:rPr>
            <w:t>2</w:t>
          </w:r>
          <w:bookmarkEnd w:id="16"/>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cs="Times New Roma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_Toc925760867_WPSOffice_Level2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2528"/>
              <w:placeholder>
                <w:docPart w:val="{b91924d7-5bd8-489c-beb8-64dc8bd7eabc}"/>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二、机构设置</w:t>
              </w:r>
            </w:sdtContent>
          </w:sdt>
          <w:r>
            <w:rPr>
              <w:rFonts w:hint="default" w:ascii="Times New Roman" w:hAnsi="Times New Roman" w:eastAsia="仿宋_GB2312" w:cs="Times New Roman"/>
              <w:sz w:val="32"/>
              <w:szCs w:val="32"/>
            </w:rPr>
            <w:tab/>
          </w:r>
          <w:bookmarkStart w:id="17" w:name="_Toc925760867_WPSOffice_Level2Page"/>
          <w:r>
            <w:rPr>
              <w:rFonts w:hint="default" w:ascii="Times New Roman" w:hAnsi="Times New Roman" w:eastAsia="仿宋_GB2312" w:cs="Times New Roman"/>
              <w:sz w:val="32"/>
              <w:szCs w:val="32"/>
            </w:rPr>
            <w:t>3</w:t>
          </w:r>
          <w:bookmarkEnd w:id="17"/>
          <w:r>
            <w:rPr>
              <w:rFonts w:hint="default" w:ascii="Times New Roman" w:hAnsi="Times New Roman" w:eastAsia="仿宋_GB2312" w:cs="Times New Roman"/>
              <w:sz w:val="32"/>
              <w:szCs w:val="32"/>
            </w:rPr>
            <w:fldChar w:fldCharType="end"/>
          </w:r>
        </w:p>
        <w:p>
          <w:pPr>
            <w:pStyle w:val="37"/>
            <w:tabs>
              <w:tab w:val="right" w:leader="dot" w:pos="8306"/>
            </w:tabs>
            <w:rPr>
              <w:rFonts w:hint="default" w:ascii="Times New Roman" w:hAnsi="Times New Roman" w:cs="Times New Roman"/>
            </w:rPr>
          </w:pPr>
          <w:r>
            <w:rPr>
              <w:rFonts w:hint="default" w:ascii="Times New Roman" w:hAnsi="Times New Roman" w:cs="Times New Roman"/>
              <w:b/>
              <w:bCs/>
            </w:rPr>
            <w:fldChar w:fldCharType="begin"/>
          </w:r>
          <w:r>
            <w:rPr>
              <w:rFonts w:hint="default" w:ascii="Times New Roman" w:hAnsi="Times New Roman" w:cs="Times New Roman"/>
            </w:rPr>
            <w:instrText xml:space="preserve"> HYPERLINK \l _Toc188885661_WPSOffice_Level1 </w:instrText>
          </w:r>
          <w:r>
            <w:rPr>
              <w:rFonts w:hint="default" w:ascii="Times New Roman" w:hAnsi="Times New Roman" w:cs="Times New Roman"/>
              <w:b/>
              <w:bCs/>
            </w:rPr>
            <w:fldChar w:fldCharType="separate"/>
          </w:r>
          <w:sdt>
            <w:sdtPr>
              <w:rPr>
                <w:rFonts w:hint="default" w:ascii="Times New Roman" w:hAnsi="Times New Roman" w:eastAsia="宋体" w:cs="Times New Roman"/>
                <w:b/>
                <w:bCs/>
                <w:kern w:val="2"/>
                <w:sz w:val="21"/>
                <w:szCs w:val="24"/>
                <w:lang w:val="en-US" w:eastAsia="zh-CN" w:bidi="ar-SA"/>
              </w:rPr>
              <w:id w:val="147463542"/>
              <w:placeholder>
                <w:docPart w:val="{cc2ce66d-4344-4844-8117-bbb25fc1f425}"/>
              </w:placeholder>
            </w:sdtPr>
            <w:sdtEndPr>
              <w:rPr>
                <w:rFonts w:hint="default" w:ascii="Times New Roman" w:hAnsi="Times New Roman" w:eastAsia="黑体" w:cs="Times New Roman"/>
                <w:b/>
                <w:bCs/>
                <w:kern w:val="2"/>
                <w:sz w:val="32"/>
                <w:szCs w:val="32"/>
                <w:lang w:val="en-US" w:eastAsia="zh-CN" w:bidi="ar-SA"/>
              </w:rPr>
            </w:sdtEndPr>
            <w:sdtContent>
              <w:r>
                <w:rPr>
                  <w:rFonts w:hint="default" w:ascii="Times New Roman" w:hAnsi="Times New Roman" w:eastAsia="黑体" w:cs="Times New Roman"/>
                  <w:kern w:val="2"/>
                  <w:sz w:val="32"/>
                  <w:szCs w:val="32"/>
                  <w:lang w:val="en-US" w:eastAsia="zh-CN" w:bidi="ar-SA"/>
                </w:rPr>
                <w:t>第二部分  2025年度部门决算情况说明</w:t>
              </w:r>
            </w:sdtContent>
          </w:sdt>
          <w:r>
            <w:rPr>
              <w:rFonts w:hint="default" w:ascii="Times New Roman" w:hAnsi="Times New Roman" w:eastAsia="黑体" w:cs="Times New Roman"/>
              <w:kern w:val="2"/>
              <w:sz w:val="32"/>
              <w:szCs w:val="32"/>
              <w:lang w:val="en-US" w:eastAsia="zh-CN" w:bidi="ar-SA"/>
            </w:rPr>
            <w:tab/>
          </w:r>
          <w:bookmarkStart w:id="18" w:name="_Toc188885661_WPSOffice_Level1Page"/>
          <w:r>
            <w:rPr>
              <w:rFonts w:hint="default" w:ascii="Times New Roman" w:hAnsi="Times New Roman" w:eastAsia="黑体" w:cs="Times New Roman"/>
              <w:kern w:val="2"/>
              <w:sz w:val="32"/>
              <w:szCs w:val="32"/>
              <w:lang w:val="en-US" w:eastAsia="zh-CN" w:bidi="ar-SA"/>
            </w:rPr>
            <w:t>4</w:t>
          </w:r>
          <w:bookmarkEnd w:id="18"/>
          <w:r>
            <w:rPr>
              <w:rFonts w:hint="default" w:ascii="Times New Roman" w:hAnsi="Times New Roman" w:cs="Times New Roman"/>
              <w:b/>
              <w:bCs/>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_Toc1334432898_WPSOffice_Level2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1410"/>
              <w:placeholder>
                <w:docPart w:val="{ef41a9a8-80e7-4c7e-9cfc-5781a5cdc998}"/>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一、收入支出决算总体情况说明</w:t>
              </w:r>
            </w:sdtContent>
          </w:sdt>
          <w:r>
            <w:rPr>
              <w:rFonts w:hint="default" w:ascii="Times New Roman" w:hAnsi="Times New Roman" w:eastAsia="仿宋_GB2312" w:cs="Times New Roman"/>
              <w:sz w:val="32"/>
              <w:szCs w:val="32"/>
            </w:rPr>
            <w:tab/>
          </w:r>
          <w:bookmarkStart w:id="19" w:name="_Toc1334432898_WPSOffice_Level2Page"/>
          <w:r>
            <w:rPr>
              <w:rFonts w:hint="default" w:ascii="Times New Roman" w:hAnsi="Times New Roman" w:eastAsia="仿宋_GB2312" w:cs="Times New Roman"/>
              <w:sz w:val="32"/>
              <w:szCs w:val="32"/>
            </w:rPr>
            <w:t>4</w:t>
          </w:r>
          <w:bookmarkEnd w:id="19"/>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_Toc265032034_WPSOffice_Level2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9462"/>
              <w:placeholder>
                <w:docPart w:val="{1a268e46-ac09-4b1c-8a52-b1299cce0949}"/>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二、收入决算情况说明</w:t>
              </w:r>
            </w:sdtContent>
          </w:sdt>
          <w:r>
            <w:rPr>
              <w:rFonts w:hint="default" w:ascii="Times New Roman" w:hAnsi="Times New Roman" w:eastAsia="仿宋_GB2312" w:cs="Times New Roman"/>
              <w:sz w:val="32"/>
              <w:szCs w:val="32"/>
            </w:rPr>
            <w:tab/>
          </w:r>
          <w:bookmarkStart w:id="20" w:name="_Toc265032034_WPSOffice_Level2Page"/>
          <w:r>
            <w:rPr>
              <w:rFonts w:hint="default" w:ascii="Times New Roman" w:hAnsi="Times New Roman" w:eastAsia="仿宋_GB2312" w:cs="Times New Roman"/>
              <w:sz w:val="32"/>
              <w:szCs w:val="32"/>
            </w:rPr>
            <w:t>4</w:t>
          </w:r>
          <w:bookmarkEnd w:id="20"/>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_Toc53224403_WPSOffice_Level2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6338"/>
              <w:placeholder>
                <w:docPart w:val="{23cd8208-d6fd-4fd9-9ee8-2e032dbc0987}"/>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三、支出决算情况说明</w:t>
              </w:r>
            </w:sdtContent>
          </w:sdt>
          <w:r>
            <w:rPr>
              <w:rFonts w:hint="default" w:ascii="Times New Roman" w:hAnsi="Times New Roman" w:eastAsia="仿宋_GB2312" w:cs="Times New Roman"/>
              <w:sz w:val="32"/>
              <w:szCs w:val="32"/>
            </w:rPr>
            <w:tab/>
          </w:r>
          <w:bookmarkStart w:id="21" w:name="_Toc53224403_WPSOffice_Level2Page"/>
          <w:r>
            <w:rPr>
              <w:rFonts w:hint="default" w:ascii="Times New Roman" w:hAnsi="Times New Roman" w:eastAsia="仿宋_GB2312" w:cs="Times New Roman"/>
              <w:sz w:val="32"/>
              <w:szCs w:val="32"/>
            </w:rPr>
            <w:t>5</w:t>
          </w:r>
          <w:bookmarkEnd w:id="21"/>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_Toc1522260157_WPSOffice_Level2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5462"/>
              <w:placeholder>
                <w:docPart w:val="{f5b5979d-cdb1-467c-98bd-b7092de35562}"/>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四、财政拨款收入支出决算总体情况说明</w:t>
              </w:r>
            </w:sdtContent>
          </w:sdt>
          <w:r>
            <w:rPr>
              <w:rFonts w:hint="default" w:ascii="Times New Roman" w:hAnsi="Times New Roman" w:eastAsia="仿宋_GB2312" w:cs="Times New Roman"/>
              <w:sz w:val="32"/>
              <w:szCs w:val="32"/>
            </w:rPr>
            <w:tab/>
          </w:r>
          <w:bookmarkStart w:id="22" w:name="_Toc1522260157_WPSOffice_Level2Page"/>
          <w:r>
            <w:rPr>
              <w:rFonts w:hint="default" w:ascii="Times New Roman" w:hAnsi="Times New Roman" w:eastAsia="仿宋_GB2312" w:cs="Times New Roman"/>
              <w:sz w:val="32"/>
              <w:szCs w:val="32"/>
            </w:rPr>
            <w:t>6</w:t>
          </w:r>
          <w:bookmarkEnd w:id="22"/>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_Toc1593362150_WPSOffice_Level2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9891"/>
              <w:placeholder>
                <w:docPart w:val="{78f8eb33-8ba0-4517-8b8e-51d8c57b91a1}"/>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五、一般公共预算财政拨款支出决算情况说明</w:t>
              </w:r>
            </w:sdtContent>
          </w:sdt>
          <w:r>
            <w:rPr>
              <w:rFonts w:hint="default" w:ascii="Times New Roman" w:hAnsi="Times New Roman" w:eastAsia="仿宋_GB2312" w:cs="Times New Roman"/>
              <w:sz w:val="32"/>
              <w:szCs w:val="32"/>
            </w:rPr>
            <w:tab/>
          </w:r>
          <w:bookmarkStart w:id="23" w:name="_Toc1593362150_WPSOffice_Level2Page"/>
          <w:r>
            <w:rPr>
              <w:rFonts w:hint="default" w:ascii="Times New Roman" w:hAnsi="Times New Roman" w:eastAsia="仿宋_GB2312" w:cs="Times New Roman"/>
              <w:sz w:val="32"/>
              <w:szCs w:val="32"/>
            </w:rPr>
            <w:t>6</w:t>
          </w:r>
          <w:bookmarkEnd w:id="23"/>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_Toc1570440616_WPSOffice_Level2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6564"/>
              <w:placeholder>
                <w:docPart w:val="{ce2ba209-794e-49a7-9ca9-f0016b4c2356}"/>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六、一般公共预算财政拨款基本支出决算情况说明</w:t>
              </w:r>
            </w:sdtContent>
          </w:sdt>
          <w:r>
            <w:rPr>
              <w:rFonts w:hint="default" w:ascii="Times New Roman" w:hAnsi="Times New Roman" w:eastAsia="仿宋_GB2312" w:cs="Times New Roman"/>
              <w:sz w:val="32"/>
              <w:szCs w:val="32"/>
            </w:rPr>
            <w:tab/>
          </w:r>
          <w:bookmarkStart w:id="24" w:name="_Toc1570440616_WPSOffice_Level2Page"/>
          <w:r>
            <w:rPr>
              <w:rFonts w:hint="default" w:ascii="Times New Roman" w:hAnsi="Times New Roman" w:eastAsia="仿宋_GB2312" w:cs="Times New Roman"/>
              <w:sz w:val="32"/>
              <w:szCs w:val="32"/>
            </w:rPr>
            <w:t>9</w:t>
          </w:r>
          <w:bookmarkEnd w:id="24"/>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_Toc1421045505_WPSOffice_Level2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6342"/>
              <w:placeholder>
                <w:docPart w:val="{cf0f4651-da24-4267-8e71-97cd22b22e4e}"/>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七、财政拨款“三公”经费支出决算情况说明</w:t>
              </w:r>
            </w:sdtContent>
          </w:sdt>
          <w:r>
            <w:rPr>
              <w:rFonts w:hint="default" w:ascii="Times New Roman" w:hAnsi="Times New Roman" w:eastAsia="仿宋_GB2312" w:cs="Times New Roman"/>
              <w:sz w:val="32"/>
              <w:szCs w:val="32"/>
            </w:rPr>
            <w:tab/>
          </w:r>
          <w:bookmarkStart w:id="25" w:name="_Toc1421045505_WPSOffice_Level2Page"/>
          <w:r>
            <w:rPr>
              <w:rFonts w:hint="default" w:ascii="Times New Roman" w:hAnsi="Times New Roman" w:eastAsia="仿宋_GB2312" w:cs="Times New Roman"/>
              <w:sz w:val="32"/>
              <w:szCs w:val="32"/>
            </w:rPr>
            <w:t>10</w:t>
          </w:r>
          <w:bookmarkEnd w:id="25"/>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_Toc1854718363_WPSOffice_Level2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4963"/>
              <w:placeholder>
                <w:docPart w:val="{a5817452-11d5-46a7-bad6-875ec9c9ea48}"/>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八、政府性基金预算支出决算情况说明</w:t>
              </w:r>
            </w:sdtContent>
          </w:sdt>
          <w:r>
            <w:rPr>
              <w:rFonts w:hint="default" w:ascii="Times New Roman" w:hAnsi="Times New Roman" w:eastAsia="仿宋_GB2312" w:cs="Times New Roman"/>
              <w:sz w:val="32"/>
              <w:szCs w:val="32"/>
            </w:rPr>
            <w:tab/>
          </w:r>
          <w:bookmarkStart w:id="26" w:name="_Toc1854718363_WPSOffice_Level2Page"/>
          <w:r>
            <w:rPr>
              <w:rFonts w:hint="default" w:ascii="Times New Roman" w:hAnsi="Times New Roman" w:eastAsia="仿宋_GB2312" w:cs="Times New Roman"/>
              <w:sz w:val="32"/>
              <w:szCs w:val="32"/>
            </w:rPr>
            <w:t>12</w:t>
          </w:r>
          <w:bookmarkEnd w:id="26"/>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_Toc194784915_WPSOffice_Level2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80835"/>
              <w:placeholder>
                <w:docPart w:val="{f0c5bc5d-24bc-40b7-aeda-edbd2dce36be}"/>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九、国有资本经营预算支出决算情况说明</w:t>
              </w:r>
            </w:sdtContent>
          </w:sdt>
          <w:r>
            <w:rPr>
              <w:rFonts w:hint="default" w:ascii="Times New Roman" w:hAnsi="Times New Roman" w:eastAsia="仿宋_GB2312" w:cs="Times New Roman"/>
              <w:sz w:val="32"/>
              <w:szCs w:val="32"/>
            </w:rPr>
            <w:tab/>
          </w:r>
          <w:bookmarkStart w:id="27" w:name="_Toc194784915_WPSOffice_Level2Page"/>
          <w:r>
            <w:rPr>
              <w:rFonts w:hint="default" w:ascii="Times New Roman" w:hAnsi="Times New Roman" w:eastAsia="仿宋_GB2312" w:cs="Times New Roman"/>
              <w:sz w:val="32"/>
              <w:szCs w:val="32"/>
            </w:rPr>
            <w:t>12</w:t>
          </w:r>
          <w:bookmarkEnd w:id="27"/>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cs="Times New Roma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_Toc197333387_WPSOffice_Level2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9298"/>
              <w:placeholder>
                <w:docPart w:val="{c3f621d2-7537-443c-ae75-532e02a0ae5a}"/>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十、其他重要事项的情况说明</w:t>
              </w:r>
            </w:sdtContent>
          </w:sdt>
          <w:r>
            <w:rPr>
              <w:rFonts w:hint="default" w:ascii="Times New Roman" w:hAnsi="Times New Roman" w:eastAsia="仿宋_GB2312" w:cs="Times New Roman"/>
              <w:sz w:val="32"/>
              <w:szCs w:val="32"/>
            </w:rPr>
            <w:tab/>
          </w:r>
          <w:bookmarkStart w:id="28" w:name="_Toc197333387_WPSOffice_Level2Page"/>
          <w:r>
            <w:rPr>
              <w:rFonts w:hint="default" w:ascii="Times New Roman" w:hAnsi="Times New Roman" w:eastAsia="仿宋_GB2312" w:cs="Times New Roman"/>
              <w:sz w:val="32"/>
              <w:szCs w:val="32"/>
            </w:rPr>
            <w:t>13</w:t>
          </w:r>
          <w:bookmarkEnd w:id="28"/>
          <w:r>
            <w:rPr>
              <w:rFonts w:hint="default" w:ascii="Times New Roman" w:hAnsi="Times New Roman" w:eastAsia="仿宋_GB2312" w:cs="Times New Roman"/>
              <w:sz w:val="32"/>
              <w:szCs w:val="32"/>
            </w:rPr>
            <w:fldChar w:fldCharType="end"/>
          </w:r>
        </w:p>
        <w:p>
          <w:pPr>
            <w:pStyle w:val="37"/>
            <w:tabs>
              <w:tab w:val="right" w:leader="dot" w:pos="8306"/>
            </w:tabs>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_Toc925760867_WPSOffice_Level1 </w:instrText>
          </w:r>
          <w:r>
            <w:rPr>
              <w:rFonts w:hint="default" w:ascii="Times New Roman" w:hAnsi="Times New Roman" w:eastAsia="黑体" w:cs="Times New Roman"/>
              <w:kern w:val="2"/>
              <w:sz w:val="32"/>
              <w:szCs w:val="32"/>
              <w:lang w:val="en-US" w:eastAsia="zh-CN" w:bidi="ar-SA"/>
            </w:rPr>
            <w:fldChar w:fldCharType="separate"/>
          </w:r>
          <w:sdt>
            <w:sdtPr>
              <w:rPr>
                <w:rFonts w:hint="default" w:ascii="Times New Roman" w:hAnsi="Times New Roman" w:eastAsia="黑体" w:cs="Times New Roman"/>
                <w:kern w:val="2"/>
                <w:sz w:val="32"/>
                <w:szCs w:val="32"/>
                <w:lang w:val="en-US" w:eastAsia="zh-CN" w:bidi="ar-SA"/>
              </w:rPr>
              <w:id w:val="147478665"/>
              <w:placeholder>
                <w:docPart w:val="{6c2dc548-6aaf-4a83-8df9-0b6f118e2e18}"/>
              </w:placeholder>
            </w:sdtPr>
            <w:sdtEndPr>
              <w:rPr>
                <w:rFonts w:hint="default" w:ascii="Times New Roman" w:hAnsi="Times New Roman" w:eastAsia="黑体" w:cs="Times New Roman"/>
                <w:kern w:val="2"/>
                <w:sz w:val="32"/>
                <w:szCs w:val="32"/>
                <w:lang w:val="en-US" w:eastAsia="zh-CN" w:bidi="ar-SA"/>
              </w:rPr>
            </w:sdtEndPr>
            <w:sdtContent>
              <w:r>
                <w:rPr>
                  <w:rFonts w:hint="default" w:ascii="Times New Roman" w:hAnsi="Times New Roman" w:eastAsia="黑体" w:cs="Times New Roman"/>
                  <w:kern w:val="2"/>
                  <w:sz w:val="32"/>
                  <w:szCs w:val="32"/>
                  <w:lang w:val="en-US" w:eastAsia="zh-CN" w:bidi="ar-SA"/>
                </w:rPr>
                <w:t>第三部分  名词解释</w:t>
              </w:r>
            </w:sdtContent>
          </w:sdt>
          <w:r>
            <w:rPr>
              <w:rFonts w:hint="default" w:ascii="Times New Roman" w:hAnsi="Times New Roman" w:eastAsia="黑体" w:cs="Times New Roman"/>
              <w:kern w:val="2"/>
              <w:sz w:val="32"/>
              <w:szCs w:val="32"/>
              <w:lang w:val="en-US" w:eastAsia="zh-CN" w:bidi="ar-SA"/>
            </w:rPr>
            <w:tab/>
          </w:r>
          <w:bookmarkStart w:id="29" w:name="_Toc925760867_WPSOffice_Level1Page"/>
          <w:r>
            <w:rPr>
              <w:rFonts w:hint="default" w:ascii="Times New Roman" w:hAnsi="Times New Roman" w:eastAsia="黑体" w:cs="Times New Roman"/>
              <w:kern w:val="2"/>
              <w:sz w:val="32"/>
              <w:szCs w:val="32"/>
              <w:lang w:val="en-US" w:eastAsia="zh-CN" w:bidi="ar-SA"/>
            </w:rPr>
            <w:t>15</w:t>
          </w:r>
          <w:bookmarkEnd w:id="29"/>
          <w:r>
            <w:rPr>
              <w:rFonts w:hint="default" w:ascii="Times New Roman" w:hAnsi="Times New Roman" w:eastAsia="黑体" w:cs="Times New Roman"/>
              <w:kern w:val="2"/>
              <w:sz w:val="32"/>
              <w:szCs w:val="32"/>
              <w:lang w:val="en-US" w:eastAsia="zh-CN" w:bidi="ar-SA"/>
            </w:rPr>
            <w:fldChar w:fldCharType="end"/>
          </w:r>
        </w:p>
        <w:p>
          <w:pPr>
            <w:pStyle w:val="37"/>
            <w:tabs>
              <w:tab w:val="right" w:leader="dot" w:pos="8306"/>
            </w:tabs>
            <w:rPr>
              <w:rFonts w:hint="default" w:ascii="Times New Roman" w:hAnsi="Times New Roman" w:cs="Times New Roman"/>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_Toc1334432898_WPSOffice_Level1 </w:instrText>
          </w:r>
          <w:r>
            <w:rPr>
              <w:rFonts w:hint="default" w:ascii="Times New Roman" w:hAnsi="Times New Roman" w:eastAsia="黑体" w:cs="Times New Roman"/>
              <w:kern w:val="2"/>
              <w:sz w:val="32"/>
              <w:szCs w:val="32"/>
              <w:lang w:val="en-US" w:eastAsia="zh-CN" w:bidi="ar-SA"/>
            </w:rPr>
            <w:fldChar w:fldCharType="separate"/>
          </w:r>
          <w:sdt>
            <w:sdtPr>
              <w:rPr>
                <w:rFonts w:hint="default" w:ascii="Times New Roman" w:hAnsi="Times New Roman" w:eastAsia="黑体" w:cs="Times New Roman"/>
                <w:kern w:val="2"/>
                <w:sz w:val="32"/>
                <w:szCs w:val="32"/>
                <w:lang w:val="en-US" w:eastAsia="zh-CN" w:bidi="ar-SA"/>
              </w:rPr>
              <w:id w:val="147466294"/>
              <w:placeholder>
                <w:docPart w:val="{10e3ad7d-3c60-42ff-8f94-b6c692c80218}"/>
              </w:placeholder>
            </w:sdtPr>
            <w:sdtEndPr>
              <w:rPr>
                <w:rFonts w:hint="default" w:ascii="Times New Roman" w:hAnsi="Times New Roman" w:eastAsia="黑体" w:cs="Times New Roman"/>
                <w:kern w:val="2"/>
                <w:sz w:val="32"/>
                <w:szCs w:val="32"/>
                <w:lang w:val="en-US" w:eastAsia="zh-CN" w:bidi="ar-SA"/>
              </w:rPr>
            </w:sdtEndPr>
            <w:sdtContent>
              <w:r>
                <w:rPr>
                  <w:rFonts w:hint="default" w:ascii="Times New Roman" w:hAnsi="Times New Roman" w:eastAsia="黑体" w:cs="Times New Roman"/>
                  <w:kern w:val="2"/>
                  <w:sz w:val="32"/>
                  <w:szCs w:val="32"/>
                  <w:lang w:val="en-US" w:eastAsia="zh-CN" w:bidi="ar-SA"/>
                </w:rPr>
                <w:t>第四部分  附件</w:t>
              </w:r>
            </w:sdtContent>
          </w:sdt>
          <w:r>
            <w:rPr>
              <w:rFonts w:hint="default" w:ascii="Times New Roman" w:hAnsi="Times New Roman" w:eastAsia="黑体" w:cs="Times New Roman"/>
              <w:kern w:val="2"/>
              <w:sz w:val="32"/>
              <w:szCs w:val="32"/>
              <w:lang w:val="en-US" w:eastAsia="zh-CN" w:bidi="ar-SA"/>
            </w:rPr>
            <w:tab/>
          </w:r>
          <w:bookmarkStart w:id="30" w:name="_Toc1334432898_WPSOffice_Level1Page"/>
          <w:r>
            <w:rPr>
              <w:rFonts w:hint="default" w:ascii="Times New Roman" w:hAnsi="Times New Roman" w:eastAsia="黑体" w:cs="Times New Roman"/>
              <w:kern w:val="2"/>
              <w:sz w:val="32"/>
              <w:szCs w:val="32"/>
              <w:lang w:val="en-US" w:eastAsia="zh-CN" w:bidi="ar-SA"/>
            </w:rPr>
            <w:t>18</w:t>
          </w:r>
          <w:bookmarkEnd w:id="30"/>
          <w:r>
            <w:rPr>
              <w:rFonts w:hint="default" w:ascii="Times New Roman" w:hAnsi="Times New Roman" w:eastAsia="黑体" w:cs="Times New Roman"/>
              <w:kern w:val="2"/>
              <w:sz w:val="32"/>
              <w:szCs w:val="32"/>
              <w:lang w:val="en-US" w:eastAsia="zh-CN" w:bidi="ar-SA"/>
            </w:rPr>
            <w:fldChar w:fldCharType="end"/>
          </w:r>
        </w:p>
        <w:p>
          <w:pPr>
            <w:pStyle w:val="37"/>
            <w:tabs>
              <w:tab w:val="right" w:leader="dot" w:pos="8306"/>
            </w:tabs>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_Toc265032034_WPSOffice_Level1 </w:instrText>
          </w:r>
          <w:r>
            <w:rPr>
              <w:rFonts w:hint="default" w:ascii="Times New Roman" w:hAnsi="Times New Roman" w:eastAsia="黑体" w:cs="Times New Roman"/>
              <w:kern w:val="2"/>
              <w:sz w:val="32"/>
              <w:szCs w:val="32"/>
              <w:lang w:val="en-US" w:eastAsia="zh-CN" w:bidi="ar-SA"/>
            </w:rPr>
            <w:fldChar w:fldCharType="separate"/>
          </w:r>
          <w:sdt>
            <w:sdtPr>
              <w:rPr>
                <w:rFonts w:hint="default" w:ascii="Times New Roman" w:hAnsi="Times New Roman" w:eastAsia="黑体" w:cs="Times New Roman"/>
                <w:kern w:val="2"/>
                <w:sz w:val="32"/>
                <w:szCs w:val="32"/>
                <w:lang w:val="en-US" w:eastAsia="zh-CN" w:bidi="ar-SA"/>
              </w:rPr>
              <w:id w:val="147455991"/>
              <w:placeholder>
                <w:docPart w:val="{393fc9f8-6f3b-4a25-af8f-89e2e3484bb0}"/>
              </w:placeholder>
            </w:sdtPr>
            <w:sdtEndPr>
              <w:rPr>
                <w:rFonts w:hint="default" w:ascii="Times New Roman" w:hAnsi="Times New Roman" w:eastAsia="黑体" w:cs="Times New Roman"/>
                <w:kern w:val="2"/>
                <w:sz w:val="32"/>
                <w:szCs w:val="32"/>
                <w:lang w:val="en-US" w:eastAsia="zh-CN" w:bidi="ar-SA"/>
              </w:rPr>
            </w:sdtEndPr>
            <w:sdtContent>
              <w:r>
                <w:rPr>
                  <w:rFonts w:hint="default" w:ascii="Times New Roman" w:hAnsi="Times New Roman" w:eastAsia="黑体" w:cs="Times New Roman"/>
                  <w:kern w:val="2"/>
                  <w:sz w:val="32"/>
                  <w:szCs w:val="32"/>
                  <w:lang w:val="en-US" w:eastAsia="zh-CN" w:bidi="ar-SA"/>
                </w:rPr>
                <w:t>第五部分  附表</w:t>
              </w:r>
            </w:sdtContent>
          </w:sdt>
          <w:r>
            <w:rPr>
              <w:rFonts w:hint="default" w:ascii="Times New Roman" w:hAnsi="Times New Roman" w:eastAsia="黑体" w:cs="Times New Roman"/>
              <w:kern w:val="2"/>
              <w:sz w:val="32"/>
              <w:szCs w:val="32"/>
              <w:lang w:val="en-US" w:eastAsia="zh-CN" w:bidi="ar-SA"/>
            </w:rPr>
            <w:tab/>
          </w:r>
          <w:bookmarkStart w:id="31" w:name="_Toc265032034_WPSOffice_Level1Page"/>
          <w:r>
            <w:rPr>
              <w:rFonts w:hint="default" w:ascii="Times New Roman" w:hAnsi="Times New Roman" w:eastAsia="黑体" w:cs="Times New Roman"/>
              <w:kern w:val="2"/>
              <w:sz w:val="32"/>
              <w:szCs w:val="32"/>
              <w:lang w:val="en-US" w:eastAsia="zh-CN" w:bidi="ar-SA"/>
            </w:rPr>
            <w:t>30</w:t>
          </w:r>
          <w:bookmarkEnd w:id="31"/>
          <w:r>
            <w:rPr>
              <w:rFonts w:hint="default" w:ascii="Times New Roman" w:hAnsi="Times New Roman" w:eastAsia="黑体" w:cs="Times New Roman"/>
              <w:kern w:val="2"/>
              <w:sz w:val="32"/>
              <w:szCs w:val="32"/>
              <w:lang w:val="en-US" w:eastAsia="zh-CN" w:bidi="ar-SA"/>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_Toc1515356246_WPSOffice_Level2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7450"/>
              <w:placeholder>
                <w:docPart w:val="{5bc91161-50d5-4005-bb5f-93b11f46a6a4}"/>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一、收入支出决算总表</w:t>
              </w:r>
            </w:sdtContent>
          </w:sdt>
          <w:r>
            <w:rPr>
              <w:rFonts w:hint="default" w:ascii="Times New Roman" w:hAnsi="Times New Roman" w:eastAsia="仿宋_GB2312" w:cs="Times New Roman"/>
              <w:sz w:val="32"/>
              <w:szCs w:val="32"/>
            </w:rPr>
            <w:tab/>
          </w:r>
          <w:bookmarkStart w:id="32" w:name="_Toc1515356246_WPSOffice_Level2Page"/>
          <w:r>
            <w:rPr>
              <w:rFonts w:hint="default" w:ascii="Times New Roman" w:hAnsi="Times New Roman" w:eastAsia="仿宋_GB2312" w:cs="Times New Roman"/>
              <w:sz w:val="32"/>
              <w:szCs w:val="32"/>
            </w:rPr>
            <w:t>30</w:t>
          </w:r>
          <w:bookmarkEnd w:id="32"/>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_Toc1888795081_WPSOffice_Level2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83067"/>
              <w:placeholder>
                <w:docPart w:val="{a214f4b4-0c74-4eb6-b25f-d8c9cdbe1234}"/>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二、收入决算表</w:t>
              </w:r>
            </w:sdtContent>
          </w:sdt>
          <w:r>
            <w:rPr>
              <w:rFonts w:hint="default" w:ascii="Times New Roman" w:hAnsi="Times New Roman" w:eastAsia="仿宋_GB2312" w:cs="Times New Roman"/>
              <w:sz w:val="32"/>
              <w:szCs w:val="32"/>
            </w:rPr>
            <w:tab/>
          </w:r>
          <w:bookmarkStart w:id="33" w:name="_Toc1888795081_WPSOffice_Level2Page"/>
          <w:r>
            <w:rPr>
              <w:rFonts w:hint="default" w:ascii="Times New Roman" w:hAnsi="Times New Roman" w:eastAsia="仿宋_GB2312" w:cs="Times New Roman"/>
              <w:sz w:val="32"/>
              <w:szCs w:val="32"/>
            </w:rPr>
            <w:t>30</w:t>
          </w:r>
          <w:bookmarkEnd w:id="33"/>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_Toc38024232_WPSOffice_Level2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4910"/>
              <w:placeholder>
                <w:docPart w:val="{340b649c-3c6b-4bf0-bc5a-62b474dc990f}"/>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三、支出决算表</w:t>
              </w:r>
            </w:sdtContent>
          </w:sdt>
          <w:r>
            <w:rPr>
              <w:rFonts w:hint="default" w:ascii="Times New Roman" w:hAnsi="Times New Roman" w:eastAsia="仿宋_GB2312" w:cs="Times New Roman"/>
              <w:sz w:val="32"/>
              <w:szCs w:val="32"/>
            </w:rPr>
            <w:tab/>
          </w:r>
          <w:bookmarkStart w:id="34" w:name="_Toc38024232_WPSOffice_Level2Page"/>
          <w:r>
            <w:rPr>
              <w:rFonts w:hint="default" w:ascii="Times New Roman" w:hAnsi="Times New Roman" w:eastAsia="仿宋_GB2312" w:cs="Times New Roman"/>
              <w:sz w:val="32"/>
              <w:szCs w:val="32"/>
            </w:rPr>
            <w:t>30</w:t>
          </w:r>
          <w:bookmarkEnd w:id="34"/>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sectPr>
              <w:footerReference r:id="rId8" w:type="first"/>
              <w:headerReference r:id="rId6" w:type="default"/>
              <w:footerReference r:id="rId7" w:type="default"/>
              <w:pgSz w:w="11906" w:h="16838"/>
              <w:pgMar w:top="1440" w:right="1800" w:bottom="1440" w:left="1800" w:header="851" w:footer="992" w:gutter="0"/>
              <w:pgNumType w:fmt="decimal" w:start="1"/>
              <w:cols w:space="425" w:num="1"/>
              <w:docGrid w:type="lines" w:linePitch="312" w:charSpace="0"/>
            </w:sectPr>
          </w:pP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_Toc964335279_WPSOffice_Level2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6257"/>
              <w:placeholder>
                <w:docPart w:val="{131818ec-be9d-4bad-a32f-2d017b743065}"/>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四、财政拨款收入支出决算总表</w:t>
              </w:r>
            </w:sdtContent>
          </w:sdt>
          <w:r>
            <w:rPr>
              <w:rFonts w:hint="default" w:ascii="Times New Roman" w:hAnsi="Times New Roman" w:eastAsia="仿宋_GB2312" w:cs="Times New Roman"/>
              <w:sz w:val="32"/>
              <w:szCs w:val="32"/>
            </w:rPr>
            <w:tab/>
          </w:r>
          <w:bookmarkStart w:id="35" w:name="_Toc964335279_WPSOffice_Level2Page"/>
          <w:r>
            <w:rPr>
              <w:rFonts w:hint="default" w:ascii="Times New Roman" w:hAnsi="Times New Roman" w:eastAsia="仿宋_GB2312" w:cs="Times New Roman"/>
              <w:sz w:val="32"/>
              <w:szCs w:val="32"/>
            </w:rPr>
            <w:t>30</w:t>
          </w:r>
          <w:bookmarkEnd w:id="35"/>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_Toc430830624_WPSOffice_Level2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3998"/>
              <w:placeholder>
                <w:docPart w:val="{e9a03738-b39c-49d3-b347-6eda2d7c1490}"/>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五、财政拨款支出决算明细表</w:t>
              </w:r>
            </w:sdtContent>
          </w:sdt>
          <w:r>
            <w:rPr>
              <w:rFonts w:hint="default" w:ascii="Times New Roman" w:hAnsi="Times New Roman" w:eastAsia="仿宋_GB2312" w:cs="Times New Roman"/>
              <w:sz w:val="32"/>
              <w:szCs w:val="32"/>
            </w:rPr>
            <w:tab/>
          </w:r>
          <w:bookmarkStart w:id="36" w:name="_Toc430830624_WPSOffice_Level2Page"/>
          <w:r>
            <w:rPr>
              <w:rFonts w:hint="default" w:ascii="Times New Roman" w:hAnsi="Times New Roman" w:eastAsia="仿宋_GB2312" w:cs="Times New Roman"/>
              <w:sz w:val="32"/>
              <w:szCs w:val="32"/>
            </w:rPr>
            <w:t>30</w:t>
          </w:r>
          <w:bookmarkEnd w:id="36"/>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_Toc2068622377_WPSOffice_Level2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9210"/>
              <w:placeholder>
                <w:docPart w:val="{827cb6e1-c807-4e6c-8cf7-f2403b21580f}"/>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六、一般公共预算财政拨款支出决算表</w:t>
              </w:r>
            </w:sdtContent>
          </w:sdt>
          <w:r>
            <w:rPr>
              <w:rFonts w:hint="default" w:ascii="Times New Roman" w:hAnsi="Times New Roman" w:eastAsia="仿宋_GB2312" w:cs="Times New Roman"/>
              <w:sz w:val="32"/>
              <w:szCs w:val="32"/>
            </w:rPr>
            <w:tab/>
          </w:r>
          <w:bookmarkStart w:id="37" w:name="_Toc2068622377_WPSOffice_Level2Page"/>
          <w:r>
            <w:rPr>
              <w:rFonts w:hint="default" w:ascii="Times New Roman" w:hAnsi="Times New Roman" w:eastAsia="仿宋_GB2312" w:cs="Times New Roman"/>
              <w:sz w:val="32"/>
              <w:szCs w:val="32"/>
            </w:rPr>
            <w:t>30</w:t>
          </w:r>
          <w:bookmarkEnd w:id="37"/>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_Toc203271281_WPSOffice_Level2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6721"/>
              <w:placeholder>
                <w:docPart w:val="{30c54d0d-a37b-48d0-8917-b53ff2e51f84}"/>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七、一般公共预算财政拨款支出决算明细表</w:t>
              </w:r>
            </w:sdtContent>
          </w:sdt>
          <w:r>
            <w:rPr>
              <w:rFonts w:hint="default" w:ascii="Times New Roman" w:hAnsi="Times New Roman" w:eastAsia="仿宋_GB2312" w:cs="Times New Roman"/>
              <w:sz w:val="32"/>
              <w:szCs w:val="32"/>
            </w:rPr>
            <w:tab/>
          </w:r>
          <w:bookmarkStart w:id="38" w:name="_Toc203271281_WPSOffice_Level2Page"/>
          <w:r>
            <w:rPr>
              <w:rFonts w:hint="default" w:ascii="Times New Roman" w:hAnsi="Times New Roman" w:eastAsia="仿宋_GB2312" w:cs="Times New Roman"/>
              <w:sz w:val="32"/>
              <w:szCs w:val="32"/>
            </w:rPr>
            <w:t>30</w:t>
          </w:r>
          <w:bookmarkEnd w:id="38"/>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_Toc391088733_WPSOffice_Level2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81766"/>
              <w:placeholder>
                <w:docPart w:val="{64c56723-7053-4625-98ff-29c4ea6170db}"/>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八、一般公共预算财政拨款基本支出决算表</w:t>
              </w:r>
            </w:sdtContent>
          </w:sdt>
          <w:r>
            <w:rPr>
              <w:rFonts w:hint="default" w:ascii="Times New Roman" w:hAnsi="Times New Roman" w:eastAsia="仿宋_GB2312" w:cs="Times New Roman"/>
              <w:sz w:val="32"/>
              <w:szCs w:val="32"/>
            </w:rPr>
            <w:tab/>
          </w:r>
          <w:bookmarkStart w:id="39" w:name="_Toc391088733_WPSOffice_Level2Page"/>
          <w:r>
            <w:rPr>
              <w:rFonts w:hint="default" w:ascii="Times New Roman" w:hAnsi="Times New Roman" w:eastAsia="仿宋_GB2312" w:cs="Times New Roman"/>
              <w:sz w:val="32"/>
              <w:szCs w:val="32"/>
            </w:rPr>
            <w:t>30</w:t>
          </w:r>
          <w:bookmarkEnd w:id="39"/>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_Toc61433906_WPSOffice_Level2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9214"/>
              <w:placeholder>
                <w:docPart w:val="{5e93977a-b469-432b-a62c-10dc0557b71a}"/>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九、一般公共预算财政拨款项目支出决算表</w:t>
              </w:r>
            </w:sdtContent>
          </w:sdt>
          <w:r>
            <w:rPr>
              <w:rFonts w:hint="default" w:ascii="Times New Roman" w:hAnsi="Times New Roman" w:eastAsia="仿宋_GB2312" w:cs="Times New Roman"/>
              <w:sz w:val="32"/>
              <w:szCs w:val="32"/>
            </w:rPr>
            <w:tab/>
          </w:r>
          <w:bookmarkStart w:id="40" w:name="_Toc61433906_WPSOffice_Level2Page"/>
          <w:r>
            <w:rPr>
              <w:rFonts w:hint="default" w:ascii="Times New Roman" w:hAnsi="Times New Roman" w:eastAsia="仿宋_GB2312" w:cs="Times New Roman"/>
              <w:sz w:val="32"/>
              <w:szCs w:val="32"/>
            </w:rPr>
            <w:t>30</w:t>
          </w:r>
          <w:bookmarkEnd w:id="40"/>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_Toc1825947746_WPSOffice_Level2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4033"/>
              <w:placeholder>
                <w:docPart w:val="{606dae4e-0eb5-45c9-928e-5aba30b6fa35}"/>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十、政府性基金预算财政拨款收入支出决算表</w:t>
              </w:r>
            </w:sdtContent>
          </w:sdt>
          <w:r>
            <w:rPr>
              <w:rFonts w:hint="default" w:ascii="Times New Roman" w:hAnsi="Times New Roman" w:eastAsia="仿宋_GB2312" w:cs="Times New Roman"/>
              <w:sz w:val="32"/>
              <w:szCs w:val="32"/>
            </w:rPr>
            <w:tab/>
          </w:r>
          <w:bookmarkStart w:id="41" w:name="_Toc1825947746_WPSOffice_Level2Page"/>
          <w:r>
            <w:rPr>
              <w:rFonts w:hint="default" w:ascii="Times New Roman" w:hAnsi="Times New Roman" w:eastAsia="仿宋_GB2312" w:cs="Times New Roman"/>
              <w:sz w:val="32"/>
              <w:szCs w:val="32"/>
            </w:rPr>
            <w:t>30</w:t>
          </w:r>
          <w:bookmarkEnd w:id="41"/>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_Toc787518850_WPSOffice_Level2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1873"/>
              <w:placeholder>
                <w:docPart w:val="{ceeeb9aa-9862-4d62-bb10-5932026fd1ce}"/>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十一、国有资本经营预算财政拨款收入支出决算表</w:t>
              </w:r>
            </w:sdtContent>
          </w:sdt>
          <w:r>
            <w:rPr>
              <w:rFonts w:hint="default" w:ascii="Times New Roman" w:hAnsi="Times New Roman" w:eastAsia="仿宋_GB2312" w:cs="Times New Roman"/>
              <w:sz w:val="32"/>
              <w:szCs w:val="32"/>
            </w:rPr>
            <w:tab/>
          </w:r>
          <w:bookmarkStart w:id="42" w:name="_Toc787518850_WPSOffice_Level2Page"/>
          <w:r>
            <w:rPr>
              <w:rFonts w:hint="default" w:ascii="Times New Roman" w:hAnsi="Times New Roman" w:eastAsia="仿宋_GB2312" w:cs="Times New Roman"/>
              <w:sz w:val="32"/>
              <w:szCs w:val="32"/>
            </w:rPr>
            <w:t>30</w:t>
          </w:r>
          <w:bookmarkEnd w:id="42"/>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_Toc225122394_WPSOffice_Level2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6649"/>
              <w:placeholder>
                <w:docPart w:val="{c45a765c-adf9-4fd4-8f6b-3f8f0ff9f0bd}"/>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十二、国有资本经营预算财政拨款支出决算表</w:t>
              </w:r>
            </w:sdtContent>
          </w:sdt>
          <w:r>
            <w:rPr>
              <w:rFonts w:hint="default" w:ascii="Times New Roman" w:hAnsi="Times New Roman" w:eastAsia="仿宋_GB2312" w:cs="Times New Roman"/>
              <w:sz w:val="32"/>
              <w:szCs w:val="32"/>
            </w:rPr>
            <w:tab/>
          </w:r>
          <w:bookmarkStart w:id="43" w:name="_Toc225122394_WPSOffice_Level2Page"/>
          <w:r>
            <w:rPr>
              <w:rFonts w:hint="default" w:ascii="Times New Roman" w:hAnsi="Times New Roman" w:eastAsia="仿宋_GB2312" w:cs="Times New Roman"/>
              <w:sz w:val="32"/>
              <w:szCs w:val="32"/>
            </w:rPr>
            <w:t>30</w:t>
          </w:r>
          <w:bookmarkEnd w:id="43"/>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cs="Times New Roma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_Toc720441621_WPSOffice_Level2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7820"/>
              <w:placeholder>
                <w:docPart w:val="{c55010bc-57d6-42d9-bd0d-f027d2b0188d}"/>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十三、财政拨款“三公”经费支出决算表</w:t>
              </w:r>
            </w:sdtContent>
          </w:sdt>
          <w:r>
            <w:rPr>
              <w:rFonts w:hint="default" w:ascii="Times New Roman" w:hAnsi="Times New Roman" w:eastAsia="仿宋_GB2312" w:cs="Times New Roman"/>
              <w:sz w:val="32"/>
              <w:szCs w:val="32"/>
            </w:rPr>
            <w:tab/>
          </w:r>
          <w:bookmarkStart w:id="44" w:name="_Toc720441621_WPSOffice_Level2Page"/>
          <w:r>
            <w:rPr>
              <w:rFonts w:hint="default" w:ascii="Times New Roman" w:hAnsi="Times New Roman" w:eastAsia="仿宋_GB2312" w:cs="Times New Roman"/>
              <w:sz w:val="32"/>
              <w:szCs w:val="32"/>
            </w:rPr>
            <w:t>30</w:t>
          </w:r>
          <w:bookmarkEnd w:id="44"/>
          <w:r>
            <w:rPr>
              <w:rFonts w:hint="default" w:ascii="Times New Roman" w:hAnsi="Times New Roman" w:eastAsia="仿宋_GB2312" w:cs="Times New Roman"/>
              <w:sz w:val="32"/>
              <w:szCs w:val="32"/>
            </w:rPr>
            <w:fldChar w:fldCharType="end"/>
          </w:r>
          <w:bookmarkEnd w:id="12"/>
        </w:p>
      </w:sdtContent>
    </w:sdt>
    <w:p>
      <w:pPr>
        <w:widowControl/>
        <w:spacing w:line="560" w:lineRule="exact"/>
        <w:jc w:val="left"/>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
          <w:sz w:val="32"/>
          <w:szCs w:val="32"/>
        </w:rPr>
        <w:br w:type="page"/>
      </w:r>
    </w:p>
    <w:p>
      <w:pPr>
        <w:pStyle w:val="3"/>
        <w:jc w:val="center"/>
        <w:rPr>
          <w:rFonts w:hint="default" w:ascii="Times New Roman" w:hAnsi="Times New Roman" w:eastAsia="黑体" w:cs="Times New Roman"/>
          <w:sz w:val="32"/>
          <w:szCs w:val="32"/>
        </w:rPr>
      </w:pPr>
      <w:bookmarkStart w:id="45" w:name="_Toc383368984_WPSOffice_Level1"/>
      <w:r>
        <w:rPr>
          <w:rFonts w:hint="default" w:ascii="Times New Roman" w:hAnsi="Times New Roman" w:eastAsia="方正小标宋简体" w:cs="Times New Roman"/>
          <w:b w:val="0"/>
        </w:rPr>
        <w:t xml:space="preserve">第一部分  </w:t>
      </w:r>
      <w:r>
        <w:rPr>
          <w:rStyle w:val="29"/>
          <w:rFonts w:hint="default" w:ascii="Times New Roman" w:hAnsi="Times New Roman" w:eastAsia="方正小标宋简体" w:cs="Times New Roman"/>
          <w:b w:val="0"/>
          <w:bCs w:val="0"/>
        </w:rPr>
        <w:t>部门概况</w:t>
      </w:r>
      <w:bookmarkEnd w:id="13"/>
      <w:bookmarkEnd w:id="14"/>
      <w:bookmarkEnd w:id="45"/>
    </w:p>
    <w:p>
      <w:pPr>
        <w:pStyle w:val="28"/>
        <w:spacing w:line="600" w:lineRule="exact"/>
        <w:ind w:firstLine="640"/>
        <w:jc w:val="both"/>
        <w:outlineLvl w:val="1"/>
        <w:rPr>
          <w:rFonts w:hint="default" w:ascii="Times New Roman" w:hAnsi="Times New Roman" w:eastAsia="黑体" w:cs="Times New Roman"/>
          <w:sz w:val="32"/>
          <w:szCs w:val="32"/>
          <w:lang w:eastAsia="zh-CN"/>
        </w:rPr>
      </w:pPr>
      <w:bookmarkStart w:id="46" w:name="_Toc188885661_WPSOffice_Level2"/>
      <w:r>
        <w:rPr>
          <w:rFonts w:hint="default" w:ascii="Times New Roman" w:hAnsi="Times New Roman" w:eastAsia="黑体" w:cs="Times New Roman"/>
          <w:sz w:val="32"/>
          <w:szCs w:val="32"/>
          <w:lang w:eastAsia="zh-CN"/>
        </w:rPr>
        <w:t>一、部门职责</w:t>
      </w:r>
      <w:bookmarkEnd w:id="46"/>
    </w:p>
    <w:p>
      <w:pPr>
        <w:pStyle w:val="28"/>
        <w:spacing w:line="600" w:lineRule="exact"/>
        <w:ind w:firstLine="640"/>
        <w:jc w:val="both"/>
        <w:outlineLvl w:val="1"/>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（一）贯彻落实党中央关于“三农”工作的方针政策和省委、市委的决策部署，在履行职责过程中坚持和加强党对“三农”工作的集中统一领导。</w:t>
      </w:r>
    </w:p>
    <w:p>
      <w:pPr>
        <w:adjustRightInd w:val="0"/>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统筹研究和组织实施全市“三农”工作发展战略、中长期规划、重大政策。贯彻执行国家有关种植业、畜牧业（草原牧业）、渔业、农业机械化、农垦等农业领域工作的法律、法规、政策以及市委、市政府关于“三农”方面的决策部署，组织起草全市“三农”有关政策。参与涉农的财税、价格、收储、金融保险、进出口等政策制定。</w:t>
      </w:r>
    </w:p>
    <w:p>
      <w:pPr>
        <w:adjustRightInd w:val="0"/>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统筹实施乡村振兴战略，牵头组织改善全市农村人居环境。拟订深化全市农村经济体制改革和巩固完善农村基本经营制度的政策措施。指导全市乡村特色产业、农产品加工业（产地初加工）、休闲农业和乡村企业发展工作。负责全市种植业、畜牧业（草原牧业）、渔业、农垦、农业机械化等农业各产业的监督管理。</w:t>
      </w:r>
    </w:p>
    <w:p>
      <w:pPr>
        <w:adjustRightInd w:val="0"/>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负责制定全市农业全产业机械化、智能化、数字化发展规划并组织实施。负责全市农产品质量安全监督管理。组织开展农产品质量安全监测、追溯、风险评估。组织开展全市农业资源区划和资源保护工作。负责全市有关农业生产资料和农业投入品的监督管理。负责全市农业防灾减灾、农作物重大病虫害防治工作。负责全市农业投资管理和农田建设管理。</w:t>
      </w:r>
    </w:p>
    <w:p>
      <w:pPr>
        <w:adjustRightInd w:val="0"/>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制定全市农业科研、农技推广的规划、计划和有关政策并组织实施，牵头推动农业科技体制改革和农业科技创新体系建设。指导全市农业农村人才工作。牵头开展全市农业对外合作工作。编制全市烟叶种植规划方案，督促检查烟叶种植方案贯彻落实。负责农业领域综合行政执法工作。负责全市国有农场土地的保护、利用和管理，指导国有农场的改革与发展。依法依规负责农业安全生产和职业健康监督管理工作。负责职责范围内的生态环境保护、审批服务便民化等工作。</w:t>
      </w:r>
    </w:p>
    <w:p>
      <w:pPr>
        <w:snapToGrid w:val="0"/>
        <w:spacing w:line="520" w:lineRule="exact"/>
        <w:ind w:firstLine="640" w:firstLineChars="200"/>
        <w:jc w:val="both"/>
        <w:rPr>
          <w:rFonts w:hint="default" w:ascii="Times New Roman" w:hAnsi="Times New Roman" w:cs="Times New Roman"/>
        </w:rPr>
      </w:pP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完成市委、市政府交办的其他任务。</w:t>
      </w:r>
    </w:p>
    <w:p>
      <w:pPr>
        <w:pStyle w:val="28"/>
        <w:spacing w:line="600" w:lineRule="exact"/>
        <w:ind w:firstLine="640"/>
        <w:jc w:val="both"/>
        <w:outlineLvl w:val="1"/>
        <w:rPr>
          <w:rFonts w:hint="default" w:ascii="Times New Roman" w:hAnsi="Times New Roman" w:eastAsia="黑体" w:cs="Times New Roman"/>
          <w:sz w:val="32"/>
          <w:szCs w:val="32"/>
          <w:lang w:eastAsia="zh-CN"/>
        </w:rPr>
      </w:pPr>
      <w:bookmarkStart w:id="47" w:name="_Toc15377200"/>
      <w:bookmarkStart w:id="48" w:name="_Toc925760867_WPSOffice_Level2"/>
      <w:bookmarkStart w:id="49" w:name="_Toc15396601"/>
      <w:r>
        <w:rPr>
          <w:rFonts w:hint="default" w:ascii="Times New Roman" w:hAnsi="Times New Roman" w:eastAsia="黑体" w:cs="Times New Roman"/>
          <w:sz w:val="32"/>
          <w:szCs w:val="32"/>
          <w:lang w:eastAsia="zh-CN"/>
        </w:rPr>
        <w:t>二、机构设置</w:t>
      </w:r>
      <w:bookmarkEnd w:id="47"/>
      <w:bookmarkEnd w:id="48"/>
      <w:bookmarkEnd w:id="49"/>
    </w:p>
    <w:p>
      <w:pPr>
        <w:pStyle w:val="28"/>
        <w:spacing w:line="600" w:lineRule="exact"/>
        <w:ind w:firstLine="640"/>
        <w:jc w:val="both"/>
        <w:outlineLvl w:val="1"/>
        <w:rPr>
          <w:rFonts w:hint="default" w:ascii="Times New Roman" w:hAnsi="Times New Roman" w:eastAsia="仿宋_GB2312" w:cs="Times New Roman"/>
          <w:kern w:val="2"/>
          <w:sz w:val="32"/>
          <w:szCs w:val="32"/>
          <w:lang w:val="en-US" w:eastAsia="zh-CN" w:bidi="ar-SA"/>
        </w:rPr>
      </w:pPr>
      <w:bookmarkStart w:id="50" w:name="_Toc15377433"/>
      <w:bookmarkStart w:id="51" w:name="_Toc15377202"/>
      <w:bookmarkStart w:id="52" w:name="_Toc15378449"/>
      <w:bookmarkStart w:id="53" w:name="_Toc15306276"/>
      <w:r>
        <w:rPr>
          <w:rFonts w:hint="default" w:ascii="Times New Roman" w:hAnsi="Times New Roman" w:eastAsia="仿宋_GB2312" w:cs="Times New Roman"/>
          <w:kern w:val="2"/>
          <w:sz w:val="32"/>
          <w:szCs w:val="32"/>
          <w:lang w:val="en-US" w:eastAsia="zh-CN" w:bidi="ar-SA"/>
        </w:rPr>
        <w:t>四川省攀枝花市农业农村局部门下属二级预算单位2个，其中行政单位1个，参照公务员法管理的事业单位0个，其他事业单位1个。</w:t>
      </w:r>
    </w:p>
    <w:p>
      <w:pPr>
        <w:pStyle w:val="28"/>
        <w:spacing w:line="600" w:lineRule="exact"/>
        <w:ind w:firstLine="640"/>
        <w:jc w:val="both"/>
        <w:outlineLvl w:val="1"/>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纳入四川省攀枝花市农业农村局202</w:t>
      </w:r>
      <w:r>
        <w:rPr>
          <w:rFonts w:hint="default" w:ascii="Times New Roman" w:hAnsi="Times New Roman" w:eastAsia="仿宋_GB2312" w:cs="Times New Roman"/>
          <w:kern w:val="2"/>
          <w:sz w:val="32"/>
          <w:szCs w:val="32"/>
          <w:lang w:val="en" w:eastAsia="zh-CN" w:bidi="ar-SA"/>
        </w:rPr>
        <w:t>5</w:t>
      </w:r>
      <w:r>
        <w:rPr>
          <w:rFonts w:hint="default" w:ascii="Times New Roman" w:hAnsi="Times New Roman" w:eastAsia="仿宋_GB2312" w:cs="Times New Roman"/>
          <w:kern w:val="2"/>
          <w:sz w:val="32"/>
          <w:szCs w:val="32"/>
          <w:lang w:val="en-US" w:eastAsia="zh-CN" w:bidi="ar-SA"/>
        </w:rPr>
        <w:t>年度部门决算编制范围的二级预算单位包括：</w:t>
      </w:r>
    </w:p>
    <w:p>
      <w:pPr>
        <w:pStyle w:val="28"/>
        <w:spacing w:line="600" w:lineRule="exact"/>
        <w:ind w:firstLine="640"/>
        <w:jc w:val="both"/>
        <w:outlineLvl w:val="1"/>
        <w:rPr>
          <w:rFonts w:hint="default" w:ascii="Times New Roman" w:hAnsi="Times New Roman" w:eastAsia="仿宋_GB2312" w:cs="Times New Roman"/>
          <w:kern w:val="2"/>
          <w:sz w:val="32"/>
          <w:szCs w:val="32"/>
          <w:lang w:val="en-US" w:eastAsia="zh-CN" w:bidi="ar-SA"/>
        </w:rPr>
      </w:pPr>
      <w:bookmarkStart w:id="54" w:name="_Toc113544113"/>
      <w:r>
        <w:rPr>
          <w:rFonts w:hint="default" w:ascii="Times New Roman" w:hAnsi="Times New Roman" w:eastAsia="仿宋_GB2312" w:cs="Times New Roman"/>
          <w:kern w:val="2"/>
          <w:sz w:val="32"/>
          <w:szCs w:val="32"/>
          <w:lang w:val="en-US" w:eastAsia="zh-CN" w:bidi="ar-SA"/>
        </w:rPr>
        <w:t>1.四川省攀枝花市农业农村局</w:t>
      </w:r>
    </w:p>
    <w:p>
      <w:pPr>
        <w:pStyle w:val="28"/>
        <w:spacing w:line="600" w:lineRule="exact"/>
        <w:ind w:firstLine="640"/>
        <w:jc w:val="both"/>
        <w:outlineLvl w:val="1"/>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2.四川省攀西无公害农产品监测中心</w:t>
      </w:r>
      <w:bookmarkEnd w:id="54"/>
      <w:r>
        <w:rPr>
          <w:rFonts w:hint="default" w:ascii="Times New Roman" w:hAnsi="Times New Roman" w:eastAsia="仿宋_GB2312" w:cs="Times New Roman"/>
          <w:kern w:val="2"/>
          <w:sz w:val="32"/>
          <w:szCs w:val="32"/>
          <w:lang w:val="en-US" w:eastAsia="zh-CN" w:bidi="ar-SA"/>
        </w:rPr>
        <w:t xml:space="preserve"> </w:t>
      </w:r>
    </w:p>
    <w:bookmarkEnd w:id="50"/>
    <w:bookmarkEnd w:id="51"/>
    <w:bookmarkEnd w:id="52"/>
    <w:bookmarkEnd w:id="53"/>
    <w:p>
      <w:pPr>
        <w:pStyle w:val="28"/>
        <w:spacing w:line="600" w:lineRule="exact"/>
        <w:ind w:firstLine="640"/>
        <w:jc w:val="both"/>
        <w:outlineLvl w:val="1"/>
        <w:rPr>
          <w:rFonts w:hint="default" w:ascii="Times New Roman" w:hAnsi="Times New Roman" w:eastAsia="黑体" w:cs="Times New Roman"/>
          <w:sz w:val="32"/>
          <w:szCs w:val="32"/>
          <w:lang w:eastAsia="zh-CN"/>
        </w:rPr>
      </w:pPr>
    </w:p>
    <w:p>
      <w:pPr>
        <w:widowControl/>
        <w:jc w:val="both"/>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pPr>
        <w:pStyle w:val="3"/>
        <w:jc w:val="center"/>
        <w:rPr>
          <w:rFonts w:hint="default" w:ascii="Times New Roman" w:hAnsi="Times New Roman" w:eastAsia="方正小标宋简体" w:cs="Times New Roman"/>
          <w:b w:val="0"/>
        </w:rPr>
      </w:pPr>
      <w:bookmarkStart w:id="55" w:name="_Toc15396602"/>
      <w:bookmarkStart w:id="56" w:name="_Toc15377204"/>
      <w:bookmarkStart w:id="57" w:name="_Toc188885661_WPSOffice_Level1"/>
      <w:r>
        <w:rPr>
          <w:rFonts w:hint="default" w:ascii="Times New Roman" w:hAnsi="Times New Roman" w:eastAsia="方正小标宋简体" w:cs="Times New Roman"/>
          <w:b w:val="0"/>
        </w:rPr>
        <w:t>第二部分  2025年度部门决算情况说明</w:t>
      </w:r>
      <w:bookmarkEnd w:id="55"/>
      <w:bookmarkEnd w:id="56"/>
      <w:bookmarkEnd w:id="57"/>
    </w:p>
    <w:p>
      <w:pPr>
        <w:jc w:val="both"/>
        <w:rPr>
          <w:rFonts w:hint="default" w:ascii="Times New Roman" w:hAnsi="Times New Roman" w:cs="Times New Roman"/>
        </w:rPr>
      </w:pPr>
    </w:p>
    <w:p>
      <w:pPr>
        <w:pStyle w:val="28"/>
        <w:spacing w:line="600" w:lineRule="exact"/>
        <w:ind w:firstLine="640"/>
        <w:jc w:val="both"/>
        <w:outlineLvl w:val="1"/>
        <w:rPr>
          <w:rStyle w:val="30"/>
          <w:rFonts w:hint="default" w:ascii="Times New Roman" w:hAnsi="Times New Roman" w:eastAsia="黑体" w:cs="Times New Roman"/>
          <w:b w:val="0"/>
        </w:rPr>
      </w:pPr>
      <w:bookmarkStart w:id="58" w:name="_Toc15377205"/>
      <w:bookmarkStart w:id="59" w:name="_Toc1334432898_WPSOffice_Level2"/>
      <w:bookmarkStart w:id="60" w:name="_Toc15396603"/>
      <w:r>
        <w:rPr>
          <w:rFonts w:hint="default" w:ascii="Times New Roman" w:hAnsi="Times New Roman" w:eastAsia="黑体" w:cs="Times New Roman"/>
          <w:sz w:val="32"/>
          <w:szCs w:val="32"/>
        </w:rPr>
        <w:t>一、收</w:t>
      </w:r>
      <w:r>
        <w:rPr>
          <w:rStyle w:val="30"/>
          <w:rFonts w:hint="default" w:ascii="Times New Roman" w:hAnsi="Times New Roman" w:eastAsia="黑体" w:cs="Times New Roman"/>
          <w:b w:val="0"/>
        </w:rPr>
        <w:t>入支出决算总体情况说明</w:t>
      </w:r>
      <w:bookmarkEnd w:id="58"/>
      <w:bookmarkEnd w:id="59"/>
      <w:bookmarkEnd w:id="60"/>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收入、支出总计均为4753.63万元。与2024年度相比，总计各增加431.52万元，增长10%。变动主要系政策性刚性支出结构调整及项目推进规模扩大所致。其中，基本支出因社保缴费基数及工资福利政策性上调相应增加；项目支出随年度重点任务实施进度较上年有所拓展。</w:t>
      </w:r>
    </w:p>
    <w:p>
      <w:pPr>
        <w:pStyle w:val="28"/>
        <w:spacing w:line="600" w:lineRule="exact"/>
        <w:ind w:firstLine="640"/>
        <w:jc w:val="both"/>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（图1：收入、支出决算总计变动情况图）</w:t>
      </w:r>
    </w:p>
    <w:p>
      <w:pPr>
        <w:ind w:firstLine="420" w:firstLineChars="200"/>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8"/>
        <w:spacing w:line="600" w:lineRule="exact"/>
        <w:ind w:firstLine="640"/>
        <w:jc w:val="both"/>
        <w:outlineLvl w:val="1"/>
        <w:rPr>
          <w:rFonts w:hint="default" w:ascii="Times New Roman" w:hAnsi="Times New Roman" w:eastAsia="黑体" w:cs="Times New Roman"/>
          <w:sz w:val="32"/>
          <w:szCs w:val="32"/>
        </w:rPr>
      </w:pPr>
      <w:bookmarkStart w:id="61" w:name="_Toc15377206"/>
      <w:bookmarkStart w:id="62" w:name="_Toc15396604"/>
      <w:bookmarkStart w:id="63" w:name="_Toc265032034_WPSOffice_Level2"/>
      <w:r>
        <w:rPr>
          <w:rFonts w:hint="default" w:ascii="Times New Roman" w:hAnsi="Times New Roman" w:eastAsia="黑体" w:cs="Times New Roman"/>
          <w:sz w:val="32"/>
          <w:szCs w:val="32"/>
        </w:rPr>
        <w:t>二、收入决算情况说明</w:t>
      </w:r>
      <w:bookmarkEnd w:id="61"/>
      <w:bookmarkEnd w:id="62"/>
      <w:bookmarkEnd w:id="63"/>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2025年度本年收入合计4753.63万元，其中：一般公共预算财政拨款收入4720.13万元，占99.3%；政府性基金预算财政拨款收入33.5万元，占0.7%</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SA"/>
        </w:rPr>
        <w:t>国有资本经营预算财政拨款收入0万元，占0%；上级补助收入0万元，占0%；事业收入0万元，占0%；经营收入0万元，占0%；附属单位上缴收入0万元，占0%；其他收入0万元，占0%。</w:t>
      </w:r>
    </w:p>
    <w:p>
      <w:pPr>
        <w:pStyle w:val="28"/>
        <w:spacing w:line="600" w:lineRule="exact"/>
        <w:ind w:firstLine="640"/>
        <w:jc w:val="both"/>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（图2：收入决算结构图）</w:t>
      </w:r>
    </w:p>
    <w:p>
      <w:pPr>
        <w:ind w:firstLine="525" w:firstLineChars="250"/>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8"/>
        <w:spacing w:line="600" w:lineRule="exact"/>
        <w:ind w:firstLine="640"/>
        <w:jc w:val="both"/>
        <w:outlineLvl w:val="1"/>
        <w:rPr>
          <w:rStyle w:val="30"/>
          <w:rFonts w:hint="default" w:ascii="Times New Roman" w:hAnsi="Times New Roman" w:eastAsia="黑体" w:cs="Times New Roman"/>
          <w:b w:val="0"/>
        </w:rPr>
      </w:pPr>
      <w:bookmarkStart w:id="64" w:name="_Toc53224403_WPSOffice_Level2"/>
      <w:bookmarkStart w:id="65" w:name="_Toc15377207"/>
      <w:bookmarkStart w:id="66" w:name="_Toc15396605"/>
      <w:r>
        <w:rPr>
          <w:rFonts w:hint="default" w:ascii="Times New Roman" w:hAnsi="Times New Roman" w:eastAsia="黑体" w:cs="Times New Roman"/>
          <w:sz w:val="32"/>
          <w:szCs w:val="32"/>
        </w:rPr>
        <w:t>三、支</w:t>
      </w:r>
      <w:r>
        <w:rPr>
          <w:rStyle w:val="30"/>
          <w:rFonts w:hint="default" w:ascii="Times New Roman" w:hAnsi="Times New Roman" w:eastAsia="黑体" w:cs="Times New Roman"/>
          <w:b w:val="0"/>
        </w:rPr>
        <w:t>出决算情况说明</w:t>
      </w:r>
      <w:bookmarkEnd w:id="64"/>
      <w:bookmarkEnd w:id="65"/>
      <w:bookmarkEnd w:id="66"/>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w:t>
      </w:r>
      <w:r>
        <w:rPr>
          <w:rFonts w:hint="default" w:ascii="Times New Roman" w:hAnsi="Times New Roman" w:eastAsia="仿宋_GB2312" w:cs="Times New Roman"/>
          <w:color w:val="auto"/>
          <w:kern w:val="2"/>
          <w:sz w:val="32"/>
          <w:szCs w:val="32"/>
          <w:highlight w:val="none"/>
          <w:lang w:val="en" w:eastAsia="zh-CN" w:bidi="ar-SA"/>
        </w:rPr>
        <w:t>5</w:t>
      </w:r>
      <w:r>
        <w:rPr>
          <w:rFonts w:hint="default" w:ascii="Times New Roman" w:hAnsi="Times New Roman" w:eastAsia="仿宋_GB2312" w:cs="Times New Roman"/>
          <w:color w:val="auto"/>
          <w:kern w:val="2"/>
          <w:sz w:val="32"/>
          <w:szCs w:val="32"/>
          <w:highlight w:val="none"/>
          <w:lang w:val="en-US" w:eastAsia="zh-CN" w:bidi="ar-SA"/>
        </w:rPr>
        <w:t>年度本年支出合计</w:t>
      </w:r>
      <w:r>
        <w:rPr>
          <w:rFonts w:hint="default" w:ascii="Times New Roman" w:hAnsi="Times New Roman" w:eastAsia="仿宋_GB2312" w:cs="Times New Roman"/>
          <w:color w:val="auto"/>
          <w:kern w:val="2"/>
          <w:sz w:val="32"/>
          <w:szCs w:val="32"/>
          <w:highlight w:val="none"/>
          <w:lang w:val="en" w:eastAsia="zh-CN" w:bidi="ar-SA"/>
        </w:rPr>
        <w:t>4753.63</w:t>
      </w:r>
      <w:r>
        <w:rPr>
          <w:rFonts w:hint="default" w:ascii="Times New Roman" w:hAnsi="Times New Roman" w:eastAsia="仿宋_GB2312" w:cs="Times New Roman"/>
          <w:color w:val="auto"/>
          <w:kern w:val="2"/>
          <w:sz w:val="32"/>
          <w:szCs w:val="32"/>
          <w:highlight w:val="none"/>
          <w:lang w:val="en-US" w:eastAsia="zh-CN" w:bidi="ar-SA"/>
        </w:rPr>
        <w:t>万元，其中：基本支出</w:t>
      </w:r>
      <w:r>
        <w:rPr>
          <w:rFonts w:hint="default" w:ascii="Times New Roman" w:hAnsi="Times New Roman" w:eastAsia="仿宋_GB2312" w:cs="Times New Roman"/>
          <w:color w:val="auto"/>
          <w:kern w:val="2"/>
          <w:sz w:val="32"/>
          <w:szCs w:val="32"/>
          <w:highlight w:val="none"/>
          <w:lang w:val="en" w:eastAsia="zh-CN" w:bidi="ar-SA"/>
        </w:rPr>
        <w:t>4195.34</w:t>
      </w:r>
      <w:r>
        <w:rPr>
          <w:rFonts w:hint="default" w:ascii="Times New Roman" w:hAnsi="Times New Roman" w:eastAsia="仿宋_GB2312" w:cs="Times New Roman"/>
          <w:color w:val="auto"/>
          <w:kern w:val="2"/>
          <w:sz w:val="32"/>
          <w:szCs w:val="32"/>
          <w:highlight w:val="none"/>
          <w:lang w:val="en-US" w:eastAsia="zh-CN" w:bidi="ar-SA"/>
        </w:rPr>
        <w:t>万元，占</w:t>
      </w:r>
      <w:r>
        <w:rPr>
          <w:rFonts w:hint="default" w:ascii="Times New Roman" w:hAnsi="Times New Roman" w:eastAsia="仿宋_GB2312" w:cs="Times New Roman"/>
          <w:color w:val="auto"/>
          <w:kern w:val="2"/>
          <w:sz w:val="32"/>
          <w:szCs w:val="32"/>
          <w:highlight w:val="none"/>
          <w:lang w:val="en" w:eastAsia="zh-CN" w:bidi="ar-SA"/>
        </w:rPr>
        <w:t>88.3</w:t>
      </w:r>
      <w:r>
        <w:rPr>
          <w:rFonts w:hint="default" w:ascii="Times New Roman" w:hAnsi="Times New Roman" w:eastAsia="仿宋_GB2312" w:cs="Times New Roman"/>
          <w:color w:val="auto"/>
          <w:kern w:val="2"/>
          <w:sz w:val="32"/>
          <w:szCs w:val="32"/>
          <w:highlight w:val="none"/>
          <w:lang w:val="en-US" w:eastAsia="zh-CN" w:bidi="ar-SA"/>
        </w:rPr>
        <w:t>%；项目支出</w:t>
      </w:r>
      <w:r>
        <w:rPr>
          <w:rFonts w:hint="default" w:ascii="Times New Roman" w:hAnsi="Times New Roman" w:eastAsia="仿宋_GB2312" w:cs="Times New Roman"/>
          <w:color w:val="auto"/>
          <w:kern w:val="2"/>
          <w:sz w:val="32"/>
          <w:szCs w:val="32"/>
          <w:highlight w:val="none"/>
          <w:lang w:val="en" w:eastAsia="zh-CN" w:bidi="ar-SA"/>
        </w:rPr>
        <w:t>558.2</w:t>
      </w:r>
      <w:r>
        <w:rPr>
          <w:rFonts w:hint="default" w:eastAsia="仿宋_GB2312" w:cs="Times New Roman"/>
          <w:color w:val="auto"/>
          <w:kern w:val="2"/>
          <w:sz w:val="32"/>
          <w:szCs w:val="32"/>
          <w:highlight w:val="none"/>
          <w:lang w:val="en" w:eastAsia="zh-CN" w:bidi="ar-SA"/>
        </w:rPr>
        <w:t>9</w:t>
      </w:r>
      <w:r>
        <w:rPr>
          <w:rFonts w:hint="default" w:ascii="Times New Roman" w:hAnsi="Times New Roman" w:eastAsia="仿宋_GB2312" w:cs="Times New Roman"/>
          <w:color w:val="auto"/>
          <w:kern w:val="2"/>
          <w:sz w:val="32"/>
          <w:szCs w:val="32"/>
          <w:highlight w:val="none"/>
          <w:lang w:val="en-US" w:eastAsia="zh-CN" w:bidi="ar-SA"/>
        </w:rPr>
        <w:t>万元，占</w:t>
      </w:r>
      <w:r>
        <w:rPr>
          <w:rFonts w:hint="default" w:ascii="Times New Roman" w:hAnsi="Times New Roman" w:eastAsia="仿宋_GB2312" w:cs="Times New Roman"/>
          <w:color w:val="auto"/>
          <w:kern w:val="2"/>
          <w:sz w:val="32"/>
          <w:szCs w:val="32"/>
          <w:highlight w:val="none"/>
          <w:lang w:val="en" w:eastAsia="zh-CN" w:bidi="ar-SA"/>
        </w:rPr>
        <w:t>11.7</w:t>
      </w:r>
      <w:r>
        <w:rPr>
          <w:rFonts w:hint="default" w:ascii="Times New Roman" w:hAnsi="Times New Roman" w:eastAsia="仿宋_GB2312" w:cs="Times New Roman"/>
          <w:color w:val="auto"/>
          <w:kern w:val="2"/>
          <w:sz w:val="32"/>
          <w:szCs w:val="32"/>
          <w:highlight w:val="none"/>
          <w:lang w:val="en-US" w:eastAsia="zh-CN" w:bidi="ar-SA"/>
        </w:rPr>
        <w:t>%；上缴上级支出0万元，占0%；经营支出0万元，占0%；对附属单位补助支出0万元，占0%。</w:t>
      </w:r>
    </w:p>
    <w:p>
      <w:pPr>
        <w:pStyle w:val="28"/>
        <w:spacing w:line="600" w:lineRule="exact"/>
        <w:ind w:firstLine="640"/>
        <w:jc w:val="both"/>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（图3：支出决算结构图）</w:t>
      </w:r>
    </w:p>
    <w:p>
      <w:pPr>
        <w:ind w:firstLine="525" w:firstLineChars="250"/>
        <w:jc w:val="both"/>
        <w:rPr>
          <w:rFonts w:hint="default" w:ascii="Times New Roman" w:hAnsi="Times New Roman" w:eastAsia="仿宋_GB2312" w:cs="Times New Roman"/>
          <w:sz w:val="32"/>
          <w:szCs w:val="32"/>
        </w:rPr>
      </w:pPr>
      <w:r>
        <w:rPr>
          <w:rFonts w:hint="default" w:ascii="Times New Roman" w:hAnsi="Times New Roman" w:cs="Times New Roman"/>
          <w:lang w:val="en"/>
        </w:rPr>
        <w:t xml:space="preserve">  </w:t>
      </w:r>
      <w:r>
        <w:rPr>
          <w:rFonts w:hint="default" w:ascii="Times New Roman" w:hAnsi="Times New Roman" w:cs="Times New Roman"/>
        </w:rP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both"/>
        <w:outlineLvl w:val="1"/>
        <w:rPr>
          <w:rFonts w:hint="default" w:ascii="Times New Roman" w:hAnsi="Times New Roman" w:eastAsia="黑体" w:cs="Times New Roman"/>
          <w:sz w:val="32"/>
          <w:szCs w:val="32"/>
        </w:rPr>
      </w:pPr>
      <w:bookmarkStart w:id="67" w:name="_Toc15377208"/>
      <w:bookmarkStart w:id="68" w:name="_Toc15396606"/>
    </w:p>
    <w:p>
      <w:pPr>
        <w:spacing w:line="600" w:lineRule="exact"/>
        <w:ind w:firstLine="640" w:firstLineChars="200"/>
        <w:jc w:val="both"/>
        <w:outlineLvl w:val="1"/>
        <w:rPr>
          <w:rStyle w:val="30"/>
          <w:rFonts w:hint="default" w:ascii="Times New Roman" w:hAnsi="Times New Roman" w:eastAsia="黑体" w:cs="Times New Roman"/>
          <w:b w:val="0"/>
        </w:rPr>
      </w:pPr>
      <w:bookmarkStart w:id="69" w:name="_Toc1522260157_WPSOffice_Level2"/>
      <w:r>
        <w:rPr>
          <w:rFonts w:hint="default" w:ascii="Times New Roman" w:hAnsi="Times New Roman" w:eastAsia="黑体" w:cs="Times New Roman"/>
          <w:sz w:val="32"/>
          <w:szCs w:val="32"/>
        </w:rPr>
        <w:t>四、财</w:t>
      </w:r>
      <w:r>
        <w:rPr>
          <w:rStyle w:val="30"/>
          <w:rFonts w:hint="default" w:ascii="Times New Roman" w:hAnsi="Times New Roman" w:eastAsia="黑体" w:cs="Times New Roman"/>
          <w:b w:val="0"/>
        </w:rPr>
        <w:t>政拨款收入支出决算总体情况说明</w:t>
      </w:r>
      <w:bookmarkEnd w:id="67"/>
      <w:bookmarkEnd w:id="68"/>
      <w:bookmarkEnd w:id="69"/>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w:t>
      </w:r>
      <w:r>
        <w:rPr>
          <w:rFonts w:hint="default" w:ascii="Times New Roman" w:hAnsi="Times New Roman" w:eastAsia="仿宋_GB2312" w:cs="Times New Roman"/>
          <w:color w:val="auto"/>
          <w:kern w:val="2"/>
          <w:sz w:val="32"/>
          <w:szCs w:val="32"/>
          <w:highlight w:val="none"/>
          <w:lang w:val="en" w:eastAsia="zh-CN" w:bidi="ar-SA"/>
        </w:rPr>
        <w:t>5</w:t>
      </w:r>
      <w:r>
        <w:rPr>
          <w:rFonts w:hint="default" w:ascii="Times New Roman" w:hAnsi="Times New Roman" w:eastAsia="仿宋_GB2312" w:cs="Times New Roman"/>
          <w:color w:val="auto"/>
          <w:kern w:val="2"/>
          <w:sz w:val="32"/>
          <w:szCs w:val="32"/>
          <w:highlight w:val="none"/>
          <w:lang w:val="en-US" w:eastAsia="zh-CN" w:bidi="ar-SA"/>
        </w:rPr>
        <w:t>年度财政拨款收入、支出总计均为</w:t>
      </w:r>
      <w:r>
        <w:rPr>
          <w:rFonts w:hint="default" w:ascii="Times New Roman" w:hAnsi="Times New Roman" w:eastAsia="仿宋_GB2312" w:cs="Times New Roman"/>
          <w:color w:val="auto"/>
          <w:kern w:val="2"/>
          <w:sz w:val="32"/>
          <w:szCs w:val="32"/>
          <w:highlight w:val="none"/>
          <w:lang w:val="en" w:eastAsia="zh-CN" w:bidi="ar-SA"/>
        </w:rPr>
        <w:t>4753.63</w:t>
      </w:r>
      <w:r>
        <w:rPr>
          <w:rFonts w:hint="default" w:ascii="Times New Roman" w:hAnsi="Times New Roman" w:eastAsia="仿宋_GB2312" w:cs="Times New Roman"/>
          <w:color w:val="auto"/>
          <w:kern w:val="2"/>
          <w:sz w:val="32"/>
          <w:szCs w:val="32"/>
          <w:highlight w:val="none"/>
          <w:lang w:val="en-US" w:eastAsia="zh-CN" w:bidi="ar-SA"/>
        </w:rPr>
        <w:t>万元。与2024年度相比，财政拨款收入、支出总计各增加</w:t>
      </w:r>
      <w:r>
        <w:rPr>
          <w:rFonts w:hint="default" w:ascii="Times New Roman" w:hAnsi="Times New Roman" w:eastAsia="仿宋_GB2312" w:cs="Times New Roman"/>
          <w:color w:val="auto"/>
          <w:kern w:val="2"/>
          <w:sz w:val="32"/>
          <w:szCs w:val="32"/>
          <w:highlight w:val="none"/>
          <w:lang w:val="en" w:eastAsia="zh-CN" w:bidi="ar-SA"/>
        </w:rPr>
        <w:t>431.52</w:t>
      </w:r>
      <w:r>
        <w:rPr>
          <w:rFonts w:hint="default" w:ascii="Times New Roman" w:hAnsi="Times New Roman" w:eastAsia="仿宋_GB2312" w:cs="Times New Roman"/>
          <w:color w:val="auto"/>
          <w:kern w:val="2"/>
          <w:sz w:val="32"/>
          <w:szCs w:val="32"/>
          <w:highlight w:val="none"/>
          <w:lang w:val="en-US" w:eastAsia="zh-CN" w:bidi="ar-SA"/>
        </w:rPr>
        <w:t>万元，增长</w:t>
      </w:r>
      <w:r>
        <w:rPr>
          <w:rFonts w:hint="default" w:ascii="Times New Roman" w:hAnsi="Times New Roman" w:eastAsia="仿宋_GB2312" w:cs="Times New Roman"/>
          <w:color w:val="auto"/>
          <w:kern w:val="2"/>
          <w:sz w:val="32"/>
          <w:szCs w:val="32"/>
          <w:highlight w:val="none"/>
          <w:lang w:val="en" w:eastAsia="zh-CN" w:bidi="ar-SA"/>
        </w:rPr>
        <w:t>10</w:t>
      </w:r>
      <w:r>
        <w:rPr>
          <w:rFonts w:hint="default" w:ascii="Times New Roman" w:hAnsi="Times New Roman" w:eastAsia="仿宋_GB2312" w:cs="Times New Roman"/>
          <w:color w:val="auto"/>
          <w:kern w:val="2"/>
          <w:sz w:val="32"/>
          <w:szCs w:val="32"/>
          <w:highlight w:val="none"/>
          <w:lang w:val="en-US" w:eastAsia="zh-CN" w:bidi="ar-SA"/>
        </w:rPr>
        <w:t>%。主要变动原因：一是基本支出因社保缴费基数及工资福利政策性上调相应增加；二是项目支出随年度重点任务实施进度较上年有所拓展。</w:t>
      </w:r>
    </w:p>
    <w:p>
      <w:pPr>
        <w:spacing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（图4：财政拨款收、支决算总计变动情况）</w:t>
      </w:r>
    </w:p>
    <w:p>
      <w:pPr>
        <w:pStyle w:val="13"/>
        <w:jc w:val="both"/>
        <w:rPr>
          <w:rFonts w:hint="default" w:ascii="Times New Roman" w:hAnsi="Times New Roman" w:eastAsia="仿宋_GB2312" w:cs="Times New Roman"/>
          <w:sz w:val="32"/>
          <w:szCs w:val="32"/>
        </w:rPr>
      </w:pPr>
      <w:r>
        <w:rPr>
          <w:rFonts w:hint="default" w:ascii="Times New Roman" w:hAnsi="Times New Roman" w:cs="Times New Roman"/>
          <w:lang w:val="en"/>
        </w:rPr>
        <w:t xml:space="preserve">        </w:t>
      </w:r>
      <w:r>
        <w:rPr>
          <w:rFonts w:hint="default" w:ascii="Times New Roman" w:hAnsi="Times New Roman" w:cs="Times New Roman"/>
        </w:rPr>
        <w:drawing>
          <wp:inline distT="0" distB="0" distL="114300" distR="114300">
            <wp:extent cx="4572000" cy="2743200"/>
            <wp:effectExtent l="4445" t="4445" r="14605" b="1460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both"/>
        <w:outlineLvl w:val="1"/>
        <w:rPr>
          <w:rStyle w:val="30"/>
          <w:rFonts w:hint="default" w:ascii="Times New Roman" w:hAnsi="Times New Roman" w:eastAsia="黑体" w:cs="Times New Roman"/>
          <w:b w:val="0"/>
        </w:rPr>
      </w:pPr>
      <w:bookmarkStart w:id="70" w:name="_Toc15396607"/>
      <w:bookmarkStart w:id="71" w:name="_Toc15377209"/>
      <w:bookmarkStart w:id="72" w:name="_Toc1593362150_WPSOffice_Level2"/>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般公共预算财政拨款支出决算情况说明</w:t>
      </w:r>
      <w:bookmarkEnd w:id="70"/>
      <w:bookmarkEnd w:id="71"/>
      <w:bookmarkEnd w:id="72"/>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73" w:name="_Toc15377210"/>
      <w:r>
        <w:rPr>
          <w:rFonts w:hint="default" w:ascii="Times New Roman" w:hAnsi="Times New Roman" w:eastAsia="楷体_GB2312" w:cs="Times New Roman"/>
          <w:b/>
          <w:sz w:val="32"/>
          <w:szCs w:val="32"/>
        </w:rPr>
        <w:t>（一）一般公共预算财政拨款支出决算总体情况</w:t>
      </w:r>
      <w:bookmarkEnd w:id="73"/>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2025年度一般公共预算财政拨款支出4720.13万元，占本年支出合计的99.3%。与2024年度相比，一般公共预算财政拨款支出增加524.66万元，增长12.5%。主要变动原因</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一是基本支出因社保缴费基数及工资福利政策性上调相应增加；二是项目支出随年度重点任务实施进度较上年有所拓展。</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（图5：一般公共预算财政拨款支出决算变动情况）</w:t>
      </w:r>
    </w:p>
    <w:p>
      <w:pPr>
        <w:pStyle w:val="13"/>
        <w:jc w:val="both"/>
        <w:rPr>
          <w:rFonts w:hint="default" w:ascii="Times New Roman" w:hAnsi="Times New Roman" w:eastAsia="仿宋_GB2312" w:cs="Times New Roman"/>
          <w:sz w:val="32"/>
          <w:szCs w:val="32"/>
        </w:rPr>
      </w:pPr>
    </w:p>
    <w:p>
      <w:pPr>
        <w:pStyle w:val="7"/>
        <w:ind w:left="0" w:leftChars="0" w:firstLine="0" w:firstLineChars="0"/>
        <w:jc w:val="both"/>
        <w:rPr>
          <w:rFonts w:hint="default" w:ascii="Times New Roman" w:hAnsi="Times New Roman" w:eastAsia="仿宋_GB2312" w:cs="Times New Roman"/>
          <w:sz w:val="32"/>
          <w:szCs w:val="32"/>
        </w:rPr>
      </w:pPr>
    </w:p>
    <w:p>
      <w:pPr>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jc w:val="both"/>
        <w:outlineLvl w:val="2"/>
        <w:rPr>
          <w:rFonts w:hint="default" w:ascii="Times New Roman" w:hAnsi="Times New Roman" w:eastAsia="楷体_GB2312" w:cs="Times New Roman"/>
          <w:b/>
          <w:sz w:val="32"/>
          <w:szCs w:val="32"/>
        </w:rPr>
      </w:pPr>
      <w:bookmarkStart w:id="74" w:name="_Toc15377211"/>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sz w:val="32"/>
          <w:szCs w:val="32"/>
        </w:rPr>
        <w:t>（二）一般公共预算财政拨款支出决算结构情况</w:t>
      </w:r>
      <w:bookmarkEnd w:id="74"/>
    </w:p>
    <w:p>
      <w:pPr>
        <w:spacing w:line="600" w:lineRule="exact"/>
        <w:ind w:firstLine="64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2025年度一般公共预算财政拨款支出4720.13万元，主要用于以下方面：一般公共服务支出7.41万元，占</w:t>
      </w:r>
      <w:r>
        <w:rPr>
          <w:rFonts w:hint="default" w:ascii="Times New Roman" w:hAnsi="Times New Roman" w:eastAsia="仿宋_GB2312" w:cs="Times New Roman"/>
          <w:color w:val="auto"/>
          <w:kern w:val="2"/>
          <w:sz w:val="32"/>
          <w:szCs w:val="32"/>
          <w:highlight w:val="none"/>
          <w:lang w:val="en" w:eastAsia="zh-CN" w:bidi="ar-SA"/>
        </w:rPr>
        <w:t>0.2</w:t>
      </w:r>
      <w:r>
        <w:rPr>
          <w:rFonts w:hint="default" w:ascii="Times New Roman" w:hAnsi="Times New Roman" w:eastAsia="仿宋_GB2312" w:cs="Times New Roman"/>
          <w:color w:val="auto"/>
          <w:kern w:val="2"/>
          <w:sz w:val="32"/>
          <w:szCs w:val="32"/>
          <w:highlight w:val="none"/>
          <w:lang w:val="en-US" w:eastAsia="zh-CN" w:bidi="ar-SA"/>
        </w:rPr>
        <w:t>%；社会保障和就业支出629.83万元，占13.3%；卫生健康支出191.96万元，占4.1%；农林水支出3630.83万元，</w:t>
      </w:r>
      <w:r>
        <w:rPr>
          <w:rFonts w:hint="default" w:ascii="Times New Roman" w:hAnsi="Times New Roman" w:eastAsia="仿宋_GB2312" w:cs="Times New Roman"/>
          <w:color w:val="auto"/>
          <w:kern w:val="2"/>
          <w:sz w:val="32"/>
          <w:szCs w:val="32"/>
          <w:highlight w:val="none"/>
          <w:lang w:val="en" w:eastAsia="zh-CN" w:bidi="ar-SA"/>
        </w:rPr>
        <w:t>占</w:t>
      </w:r>
      <w:r>
        <w:rPr>
          <w:rFonts w:hint="default" w:ascii="Times New Roman" w:hAnsi="Times New Roman" w:eastAsia="仿宋_GB2312" w:cs="Times New Roman"/>
          <w:color w:val="auto"/>
          <w:kern w:val="2"/>
          <w:sz w:val="32"/>
          <w:szCs w:val="32"/>
          <w:highlight w:val="none"/>
          <w:lang w:val="en-US" w:eastAsia="zh-CN" w:bidi="ar-SA"/>
        </w:rPr>
        <w:t>76.9</w:t>
      </w:r>
      <w:r>
        <w:rPr>
          <w:rFonts w:hint="default" w:ascii="Times New Roman" w:hAnsi="Times New Roman"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住房保障支出260.</w:t>
      </w:r>
      <w:r>
        <w:rPr>
          <w:rFonts w:hint="default" w:eastAsia="仿宋_GB2312" w:cs="Times New Roman"/>
          <w:color w:val="auto"/>
          <w:kern w:val="2"/>
          <w:sz w:val="32"/>
          <w:szCs w:val="32"/>
          <w:highlight w:val="none"/>
          <w:lang w:val="en" w:eastAsia="zh-CN" w:bidi="ar-SA"/>
        </w:rPr>
        <w:t>1</w:t>
      </w:r>
      <w:r>
        <w:rPr>
          <w:rFonts w:hint="default" w:ascii="Times New Roman" w:hAnsi="Times New Roman" w:eastAsia="仿宋_GB2312" w:cs="Times New Roman"/>
          <w:color w:val="auto"/>
          <w:kern w:val="2"/>
          <w:sz w:val="32"/>
          <w:szCs w:val="32"/>
          <w:highlight w:val="none"/>
          <w:lang w:val="en-US" w:eastAsia="zh-CN" w:bidi="ar-SA"/>
        </w:rPr>
        <w:t>万元，占5.5%。</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（图6：一般公共预算财政拨款支出决算结构）</w:t>
      </w:r>
    </w:p>
    <w:p>
      <w:pPr>
        <w:pStyle w:val="13"/>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75" w:name="_Toc15377212"/>
      <w:r>
        <w:rPr>
          <w:rFonts w:hint="default" w:ascii="Times New Roman" w:hAnsi="Times New Roman" w:eastAsia="楷体_GB2312" w:cs="Times New Roman"/>
          <w:b/>
          <w:sz w:val="32"/>
          <w:szCs w:val="32"/>
        </w:rPr>
        <w:t>（三）一般公共预算财政拨款支出决算具体情况</w:t>
      </w:r>
      <w:bookmarkEnd w:id="75"/>
    </w:p>
    <w:p>
      <w:pPr>
        <w:spacing w:line="600" w:lineRule="exact"/>
        <w:ind w:firstLine="640"/>
        <w:jc w:val="both"/>
        <w:rPr>
          <w:rFonts w:hint="default" w:ascii="Times New Roman" w:hAnsi="Times New Roman" w:eastAsia="仿宋_GB2312" w:cs="Times New Roman"/>
          <w:sz w:val="32"/>
          <w:szCs w:val="32"/>
        </w:rPr>
      </w:pPr>
      <w:bookmarkStart w:id="76" w:name="_Toc15377444"/>
      <w:bookmarkStart w:id="77" w:name="_Toc15378460"/>
      <w:bookmarkStart w:id="78" w:name="_Toc15377213"/>
      <w:r>
        <w:rPr>
          <w:rFonts w:hint="default" w:ascii="Times New Roman" w:hAnsi="Times New Roman" w:eastAsia="仿宋_GB2312" w:cs="Times New Roman"/>
          <w:sz w:val="32"/>
          <w:szCs w:val="32"/>
        </w:rPr>
        <w:t>2025年度一般公共预算支出决算数为</w:t>
      </w:r>
      <w:r>
        <w:rPr>
          <w:rFonts w:hint="default" w:ascii="Times New Roman" w:hAnsi="Times New Roman" w:eastAsia="仿宋_GB2312" w:cs="Times New Roman"/>
          <w:sz w:val="32"/>
          <w:szCs w:val="32"/>
          <w:lang w:val="en-US" w:eastAsia="zh-CN"/>
        </w:rPr>
        <w:t>4720.13万元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76"/>
      <w:bookmarkEnd w:id="77"/>
      <w:bookmarkEnd w:id="78"/>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1.一般公共服务（类）组织事务（款）其他组织事务（项）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支出决算为7.41万元，完成预算100%。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2.社会保障和就业（类）人力资源和社会保障管理事务（款）其他人力资源和社会保障管理事务支出（项）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支出决算为39.68万元，完成预算100%。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3.社会保障和就业（类）行政事业单位养老（款）行政单位离退休（项）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支出决算为128.78万元，完成预算100%。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4.社会保障和就业（类）行政事业单位养老（款）事业单位离退休（项）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支出决算为51.8万元，完成预算100%。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5.社会保障和就业（类）行政事业单位养老（款）机关事业单位基本养老保险缴费支出（项）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支出决算为328.29万元，完成预算100%。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6.社会保障和就业（类）行政事业单位养老（款）机关事业单位职业年金缴费支出（项）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支出决算为71.77万元，完成预算100%。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7.社会保障和就业（类）抚恤（款）死亡抚恤（项）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支出决算为9.33万元，完成预算100%。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8.社会保障和就业（类）社会福利（款）儿童福利（项）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支出决算为0.18万元，完成预算100%。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9.卫生健康（类）行政事业单位医疗（款）行政单位医疗（项）支出决算为99.42万元，完成预算100%。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10.卫生健康（类）行政事业单位医疗（款）事业单位医疗（项）支出决算为73.26万元，完成预算100%。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11.卫生健康（类）行政事业单位医疗（款）公务员医疗补助（项）支出决算为19.28万元，完成预算100%。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12.农林水（类）农业农村（款）行政运行（项）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支出决算为1828.95万元，完成预算100%。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13.农林水（类）农业农村（款）事业运行（项）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支出决算为1296.69万元，完成预算100%。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14.农林水（类）农业农村（款）农产品质量安全（项）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支出决算为50.15万元，完成预算100%。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15.农林水（类）农业农村（款）耕地建设与利用（项）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支出决算为6万元，完成预算100%。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16.农林水（类）农业农村（款）其他农业农村支出（项）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支出决算为404.05万元，完成预算100%。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17.农林水（类）巩固脱贫衔接乡村振兴（款）其他巩固脱贫攻坚成果衔接乡村振兴支出（项）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支出决算为45万元，完成预算100%。</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18.住房保障（类）住房改革（款）住房公积金（项）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支出决算为260.09万元，完成预算100%。</w:t>
      </w:r>
    </w:p>
    <w:p>
      <w:pPr>
        <w:tabs>
          <w:tab w:val="right" w:pos="8306"/>
        </w:tabs>
        <w:spacing w:line="600" w:lineRule="exact"/>
        <w:ind w:firstLine="640"/>
        <w:jc w:val="both"/>
        <w:outlineLvl w:val="1"/>
        <w:rPr>
          <w:rStyle w:val="30"/>
          <w:rFonts w:hint="default" w:ascii="Times New Roman" w:hAnsi="Times New Roman" w:cs="Times New Roman"/>
        </w:rPr>
      </w:pPr>
      <w:bookmarkStart w:id="79" w:name="_Toc15377214"/>
      <w:bookmarkStart w:id="80" w:name="_Toc15396608"/>
      <w:bookmarkStart w:id="81" w:name="_Toc1570440616_WPSOffice_Level2"/>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般公共预算财政拨款基本支出决算情况说明</w:t>
      </w:r>
      <w:bookmarkEnd w:id="79"/>
      <w:bookmarkEnd w:id="80"/>
      <w:bookmarkEnd w:id="81"/>
      <w:r>
        <w:rPr>
          <w:rStyle w:val="30"/>
          <w:rFonts w:hint="default" w:ascii="Times New Roman" w:hAnsi="Times New Roman" w:eastAsia="黑体" w:cs="Times New Roman"/>
          <w:b w:val="0"/>
        </w:rPr>
        <w:tab/>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2025年度一般公共预算财政拨款基本支出</w:t>
      </w:r>
      <w:r>
        <w:rPr>
          <w:rFonts w:hint="default" w:ascii="Times New Roman" w:hAnsi="Times New Roman" w:eastAsia="仿宋_GB2312" w:cs="Times New Roman"/>
          <w:sz w:val="32"/>
          <w:szCs w:val="32"/>
          <w:lang w:val="en-US" w:eastAsia="zh-CN"/>
        </w:rPr>
        <w:t>4195.34</w:t>
      </w:r>
      <w:r>
        <w:rPr>
          <w:rFonts w:hint="default" w:ascii="Times New Roman" w:hAnsi="Times New Roman" w:eastAsia="仿宋_GB2312" w:cs="Times New Roman"/>
          <w:sz w:val="32"/>
          <w:szCs w:val="32"/>
        </w:rPr>
        <w:t>万元，其中：</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1.人员经费3775.8万元，主要包括：基本工资、津贴补贴、奖金、绩效工资、机关事业单位基本养老保险缴费、职业年金缴费、职工基本医疗保险缴费</w:t>
      </w:r>
      <w:r>
        <w:rPr>
          <w:rFonts w:hint="default" w:ascii="Times New Roman" w:hAnsi="Times New Roman" w:eastAsia="仿宋_GB2312" w:cs="Times New Roman"/>
          <w:color w:val="auto"/>
          <w:kern w:val="2"/>
          <w:sz w:val="32"/>
          <w:szCs w:val="32"/>
          <w:highlight w:val="none"/>
          <w:lang w:val="en" w:eastAsia="zh-CN" w:bidi="ar-SA"/>
        </w:rPr>
        <w:t>、公务员医疗补助缴费、</w:t>
      </w:r>
      <w:r>
        <w:rPr>
          <w:rFonts w:hint="default" w:ascii="Times New Roman" w:hAnsi="Times New Roman" w:eastAsia="仿宋_GB2312" w:cs="Times New Roman"/>
          <w:color w:val="auto"/>
          <w:kern w:val="2"/>
          <w:sz w:val="32"/>
          <w:szCs w:val="32"/>
          <w:highlight w:val="none"/>
          <w:lang w:val="en-US" w:eastAsia="zh-CN" w:bidi="ar-SA"/>
        </w:rPr>
        <w:t>其他社会保障缴费、其他工资福利支出、抚恤金、生活补助、医疗费补助、奖励金、住房公积金、其他对个人和家庭的补助支出等。</w:t>
      </w:r>
      <w:r>
        <w:rPr>
          <w:rFonts w:hint="default" w:ascii="Times New Roman" w:hAnsi="Times New Roman" w:eastAsia="仿宋_GB2312" w:cs="Times New Roman"/>
          <w:color w:val="auto"/>
          <w:kern w:val="2"/>
          <w:sz w:val="32"/>
          <w:szCs w:val="32"/>
          <w:highlight w:val="none"/>
          <w:lang w:val="en-US" w:eastAsia="zh-CN" w:bidi="ar-SA"/>
        </w:rPr>
        <w:br w:type="textWrapping"/>
      </w:r>
      <w:r>
        <w:rPr>
          <w:rFonts w:hint="default" w:ascii="Times New Roman" w:hAnsi="Times New Roman" w:eastAsia="仿宋_GB2312" w:cs="Times New Roman"/>
          <w:color w:val="auto"/>
          <w:kern w:val="2"/>
          <w:sz w:val="32"/>
          <w:szCs w:val="32"/>
          <w:highlight w:val="none"/>
          <w:lang w:val="en-US" w:eastAsia="zh-CN" w:bidi="ar-SA"/>
        </w:rPr>
        <w:t>　　2.公用经费419.54万元，主要包括：办公费、水费、电费、邮电费、物业管理费、差旅费、会议费、公务接待费、委托业务费、工会经费、福利费、公务用车运行维护费、其他交通费、其他商品和服务支出、办公设备购置</w:t>
      </w:r>
      <w:r>
        <w:rPr>
          <w:rFonts w:hint="default" w:ascii="Times New Roman" w:hAnsi="Times New Roman" w:eastAsia="仿宋_GB2312" w:cs="Times New Roman"/>
          <w:color w:val="auto"/>
          <w:kern w:val="2"/>
          <w:sz w:val="32"/>
          <w:szCs w:val="32"/>
          <w:highlight w:val="none"/>
          <w:lang w:val="en" w:eastAsia="zh-CN" w:bidi="ar-SA"/>
        </w:rPr>
        <w:t>。</w:t>
      </w:r>
    </w:p>
    <w:p>
      <w:pPr>
        <w:spacing w:line="600" w:lineRule="exact"/>
        <w:ind w:firstLine="640"/>
        <w:jc w:val="both"/>
        <w:outlineLvl w:val="1"/>
        <w:rPr>
          <w:rStyle w:val="30"/>
          <w:rFonts w:hint="default" w:ascii="Times New Roman" w:hAnsi="Times New Roman" w:eastAsia="黑体" w:cs="Times New Roman"/>
          <w:b w:val="0"/>
        </w:rPr>
      </w:pPr>
      <w:bookmarkStart w:id="82" w:name="_Toc1421045505_WPSOffice_Level2"/>
      <w:bookmarkStart w:id="83" w:name="_Toc15377215"/>
      <w:bookmarkStart w:id="84" w:name="_Toc15396609"/>
      <w:r>
        <w:rPr>
          <w:rFonts w:hint="default" w:ascii="Times New Roman" w:hAnsi="Times New Roman" w:eastAsia="黑体" w:cs="Times New Roman"/>
          <w:sz w:val="32"/>
          <w:szCs w:val="32"/>
        </w:rPr>
        <w:t>七、</w:t>
      </w:r>
      <w:r>
        <w:rPr>
          <w:rStyle w:val="30"/>
          <w:rFonts w:hint="default" w:ascii="Times New Roman" w:hAnsi="Times New Roman" w:eastAsia="黑体" w:cs="Times New Roman"/>
          <w:b w:val="0"/>
        </w:rPr>
        <w:t>财政拨款</w:t>
      </w:r>
      <w:r>
        <w:rPr>
          <w:rStyle w:val="30"/>
          <w:rFonts w:hint="default" w:ascii="Times New Roman" w:hAnsi="Times New Roman" w:eastAsia="黑体" w:cs="Times New Roman"/>
        </w:rPr>
        <w:t>“</w:t>
      </w:r>
      <w:r>
        <w:rPr>
          <w:rStyle w:val="30"/>
          <w:rFonts w:hint="default" w:ascii="Times New Roman" w:hAnsi="Times New Roman" w:eastAsia="黑体" w:cs="Times New Roman"/>
          <w:b w:val="0"/>
        </w:rPr>
        <w:t>三公”经费支出决算情况说明</w:t>
      </w:r>
      <w:bookmarkEnd w:id="82"/>
      <w:bookmarkEnd w:id="83"/>
      <w:bookmarkEnd w:id="84"/>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85" w:name="_Toc15377216"/>
      <w:r>
        <w:rPr>
          <w:rFonts w:hint="default" w:ascii="Times New Roman" w:hAnsi="Times New Roman" w:eastAsia="楷体_GB2312" w:cs="Times New Roman"/>
          <w:b/>
          <w:sz w:val="32"/>
          <w:szCs w:val="32"/>
        </w:rPr>
        <w:t>（一）财政拨款“三公”经费支出决算总体情况说明</w:t>
      </w:r>
      <w:bookmarkEnd w:id="85"/>
    </w:p>
    <w:p>
      <w:pPr>
        <w:spacing w:line="600" w:lineRule="exact"/>
        <w:ind w:firstLine="640" w:firstLineChars="200"/>
        <w:jc w:val="both"/>
        <w:outlineLvl w:val="2"/>
        <w:rPr>
          <w:rFonts w:hint="default" w:ascii="Times New Roman" w:hAnsi="Times New Roman" w:eastAsia="仿宋_GB2312" w:cs="Times New Roman"/>
          <w:color w:val="auto"/>
          <w:kern w:val="2"/>
          <w:sz w:val="32"/>
          <w:szCs w:val="32"/>
          <w:highlight w:val="none"/>
          <w:lang w:val="en-US" w:eastAsia="zh-CN" w:bidi="ar-SA"/>
        </w:rPr>
      </w:pPr>
      <w:bookmarkStart w:id="86" w:name="_Toc15377217"/>
      <w:r>
        <w:rPr>
          <w:rFonts w:hint="default" w:ascii="Times New Roman" w:hAnsi="Times New Roman" w:eastAsia="仿宋_GB2312" w:cs="Times New Roman"/>
          <w:color w:val="auto"/>
          <w:kern w:val="2"/>
          <w:sz w:val="32"/>
          <w:szCs w:val="32"/>
          <w:highlight w:val="none"/>
          <w:lang w:val="en-US" w:eastAsia="zh-CN" w:bidi="ar-SA"/>
        </w:rPr>
        <w:t>2025年度“三公”经费财政拨款支出决算为32.1万元，完成预算100%，较上年度减少2.52万元，下降7.3%。决算数与预算数持平。</w:t>
      </w:r>
    </w:p>
    <w:p>
      <w:pPr>
        <w:spacing w:line="600" w:lineRule="exact"/>
        <w:ind w:firstLine="642" w:firstLineChars="200"/>
        <w:jc w:val="both"/>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（二）财政拨款“三公”经费支出决算具体情况说明</w:t>
      </w:r>
      <w:bookmarkEnd w:id="86"/>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2025年度“三公”经费财政拨款支出决算中，因公出国（境）费支出决算0万元，占</w:t>
      </w:r>
      <w:r>
        <w:rPr>
          <w:rFonts w:hint="default" w:ascii="Times New Roman" w:hAnsi="Times New Roman" w:eastAsia="仿宋_GB2312" w:cs="Times New Roman"/>
          <w:color w:val="auto"/>
          <w:kern w:val="2"/>
          <w:sz w:val="32"/>
          <w:szCs w:val="32"/>
          <w:highlight w:val="none"/>
          <w:lang w:val="en" w:eastAsia="zh-CN" w:bidi="ar-SA"/>
        </w:rPr>
        <w:t>0</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%；公务用车购置及运行维护费支出决算28.5万元，占88.8%；公务接待费支出决算3.6万元，占11.2%。具体情况如下：</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（图7：财政拨款“三公”经费支出结构）</w:t>
      </w:r>
    </w:p>
    <w:p>
      <w:pPr>
        <w:pStyle w:val="2"/>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color w:val="auto"/>
          <w:kern w:val="2"/>
          <w:sz w:val="32"/>
          <w:szCs w:val="32"/>
          <w:highlight w:val="none"/>
          <w:lang w:val="en-US" w:eastAsia="zh-CN" w:bidi="ar-SA"/>
        </w:rPr>
        <w:t>因公出国（境）经费支出0万元，完成预算100%。</w:t>
      </w:r>
      <w:r>
        <w:rPr>
          <w:rFonts w:hint="default" w:ascii="Times New Roman" w:hAnsi="Times New Roman" w:eastAsia="仿宋_GB2312" w:cs="Times New Roman"/>
          <w:color w:val="auto"/>
          <w:kern w:val="2"/>
          <w:sz w:val="32"/>
          <w:szCs w:val="32"/>
          <w:highlight w:val="none"/>
          <w:lang w:val="en-US" w:eastAsia="zh-CN" w:bidi="ar-SA"/>
        </w:rPr>
        <w:t>全年安排因公出国（境）团组</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次，出国（境）</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人。</w:t>
      </w:r>
    </w:p>
    <w:p>
      <w:pPr>
        <w:spacing w:line="600" w:lineRule="exact"/>
        <w:ind w:firstLine="64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28.5</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color w:val="auto"/>
          <w:kern w:val="2"/>
          <w:sz w:val="32"/>
          <w:szCs w:val="32"/>
          <w:highlight w:val="none"/>
          <w:lang w:val="en-US" w:eastAsia="zh-CN" w:bidi="ar-SA"/>
        </w:rPr>
        <w:t>较2024年度增加0.19万元，增长0.7%。支出增长主要系为深入贯彻落实乡村振兴战略部署，我局年度内承担的农业生产技术指导、高标准农田建设巡查及农产品质量安全抽检等一线督导任务较往年同期有所增加，相应公务出行里程略有上升，但总体支出仍严格控制在预算额度内，运行成本总体平稳。其中：</w:t>
      </w:r>
    </w:p>
    <w:p>
      <w:pPr>
        <w:spacing w:line="600" w:lineRule="exact"/>
        <w:ind w:firstLine="64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公务用车购置支出0万元。全年按规定更新购置公务用车0辆，其中：轿车0辆、金额0万元，越野车0辆、金额0万元，载客汽车0辆、金额0万元。截至2025年12月底，单位共有公务用车12辆，其中：执法执勤用车1辆、特种专业技术用车3辆，其他用车8辆。</w:t>
      </w:r>
    </w:p>
    <w:p>
      <w:pPr>
        <w:spacing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2）公务用车运行维护费支出28.5万元。主要用于统筹实施乡村振兴战略，牵头组织改善全市农村人居环境，指导全市乡村特色产业、农产品加工业（产地初加工）、休闲农业和乡村企业发展工作，种植业、畜牧业、渔业、农垦、农业机械化等农业各产业的监督管理等所需的公务用车燃料费、维修费、过路过桥费、保险费等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sz w:val="32"/>
          <w:szCs w:val="32"/>
        </w:rPr>
        <w:t>3.公务接待费支出</w:t>
      </w:r>
      <w:r>
        <w:rPr>
          <w:rFonts w:hint="default" w:ascii="Times New Roman" w:hAnsi="Times New Roman" w:eastAsia="仿宋_GB2312" w:cs="Times New Roman"/>
          <w:b/>
          <w:bCs/>
          <w:sz w:val="32"/>
          <w:szCs w:val="32"/>
          <w:lang w:val="en-US" w:eastAsia="zh-CN"/>
        </w:rPr>
        <w:t>3.6</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color w:val="auto"/>
          <w:kern w:val="2"/>
          <w:sz w:val="32"/>
          <w:szCs w:val="32"/>
          <w:highlight w:val="none"/>
          <w:lang w:val="en-US" w:eastAsia="zh-CN" w:bidi="ar-SA"/>
        </w:rPr>
        <w:t>较2024年度减少2.71万元，下降42.9%。主要原因是：我局深入贯彻落实党政机关“过紧日子”各项要求，持续健全公务接待闭环管理制度，严格执行“三公”经费动态监测预警机制，从审批源头和报销审核两端同步压缩，切实做到非必要不接待、无公函不接待，公务接待支出实现压减。其中：</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bookmarkStart w:id="87" w:name="_Toc15396610"/>
      <w:bookmarkStart w:id="88" w:name="_Toc15377218"/>
      <w:r>
        <w:rPr>
          <w:rFonts w:hint="default" w:ascii="Times New Roman" w:hAnsi="Times New Roman" w:eastAsia="仿宋_GB2312" w:cs="Times New Roman"/>
          <w:color w:val="auto"/>
          <w:kern w:val="2"/>
          <w:sz w:val="32"/>
          <w:szCs w:val="32"/>
          <w:highlight w:val="none"/>
          <w:lang w:val="en-US" w:eastAsia="zh-CN" w:bidi="ar-SA"/>
        </w:rPr>
        <w:t>（1）国内公务接待支出3.6万元，主要用于执行公务、开展业务活动开支的交通费、住宿费、用餐费等。国内公务接待31批次，249人次（不包括陪同人员），共计支出3.6万元，具体内容包括：热科院专家数次来攀调研及指导农业技术工作，共计0.3万元；省级农产品质量安全数次例行抽检工作，共计0.77万元；其余均系省厅及相关市州来攀检查调研相关工作产生。</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（2）外事接待支出0万元，外事接待0批次，0人次，共计支出0万元。</w:t>
      </w:r>
    </w:p>
    <w:p>
      <w:pPr>
        <w:spacing w:line="600" w:lineRule="exact"/>
        <w:ind w:firstLine="640"/>
        <w:jc w:val="both"/>
        <w:outlineLvl w:val="1"/>
        <w:rPr>
          <w:rStyle w:val="30"/>
          <w:rFonts w:hint="default" w:ascii="Times New Roman" w:hAnsi="Times New Roman" w:eastAsia="黑体" w:cs="Times New Roman"/>
        </w:rPr>
      </w:pPr>
      <w:bookmarkStart w:id="89" w:name="_Toc1854718363_WPSOffice_Level2"/>
      <w:r>
        <w:rPr>
          <w:rFonts w:hint="default" w:ascii="Times New Roman" w:hAnsi="Times New Roman" w:eastAsia="黑体" w:cs="Times New Roman"/>
          <w:sz w:val="32"/>
          <w:szCs w:val="32"/>
        </w:rPr>
        <w:t>八、</w:t>
      </w:r>
      <w:r>
        <w:rPr>
          <w:rStyle w:val="30"/>
          <w:rFonts w:hint="default" w:ascii="Times New Roman" w:hAnsi="Times New Roman" w:eastAsia="黑体" w:cs="Times New Roman"/>
          <w:b w:val="0"/>
        </w:rPr>
        <w:t>政府性基金预算支出决算情况说明</w:t>
      </w:r>
      <w:bookmarkEnd w:id="87"/>
      <w:bookmarkEnd w:id="88"/>
      <w:bookmarkEnd w:id="89"/>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2025年度政府性基金预算财政拨款支出33.51万元，占本年支出合计的0.7%。与2024年度相比，政府性基金预算财政拨款支出减少</w:t>
      </w:r>
      <w:r>
        <w:rPr>
          <w:rFonts w:hint="default" w:ascii="Times New Roman" w:hAnsi="Times New Roman" w:eastAsia="仿宋_GB2312" w:cs="Times New Roman"/>
          <w:color w:val="auto"/>
          <w:kern w:val="2"/>
          <w:sz w:val="32"/>
          <w:szCs w:val="32"/>
          <w:highlight w:val="none"/>
          <w:lang w:val="en" w:eastAsia="zh-CN" w:bidi="ar-SA"/>
        </w:rPr>
        <w:t>93.13</w:t>
      </w:r>
      <w:r>
        <w:rPr>
          <w:rFonts w:hint="default" w:ascii="Times New Roman" w:hAnsi="Times New Roman" w:eastAsia="仿宋_GB2312" w:cs="Times New Roman"/>
          <w:color w:val="auto"/>
          <w:kern w:val="2"/>
          <w:sz w:val="32"/>
          <w:szCs w:val="32"/>
          <w:highlight w:val="none"/>
          <w:lang w:val="en-US" w:eastAsia="zh-CN" w:bidi="ar-SA"/>
        </w:rPr>
        <w:t>万元，下降73.5%。主要变动原因是：2025年度年初项目预算政府性基金预算财政拨款收入较上年减少。</w:t>
      </w:r>
    </w:p>
    <w:p>
      <w:pPr>
        <w:spacing w:line="600" w:lineRule="exact"/>
        <w:ind w:left="630"/>
        <w:jc w:val="both"/>
        <w:outlineLvl w:val="1"/>
        <w:rPr>
          <w:rStyle w:val="30"/>
          <w:rFonts w:hint="default" w:ascii="Times New Roman" w:hAnsi="Times New Roman" w:eastAsia="黑体" w:cs="Times New Roman"/>
          <w:b w:val="0"/>
        </w:rPr>
      </w:pPr>
      <w:bookmarkStart w:id="90" w:name="_Toc15377219"/>
      <w:bookmarkStart w:id="91" w:name="_Toc15396611"/>
      <w:bookmarkStart w:id="92" w:name="_Toc194784915_WPSOffice_Level2"/>
      <w:r>
        <w:rPr>
          <w:rStyle w:val="30"/>
          <w:rFonts w:hint="default" w:ascii="Times New Roman" w:hAnsi="Times New Roman" w:eastAsia="黑体" w:cs="Times New Roman"/>
          <w:b w:val="0"/>
        </w:rPr>
        <w:t>九、国有资本经营预算支出决算情况说明</w:t>
      </w:r>
      <w:bookmarkEnd w:id="90"/>
      <w:bookmarkEnd w:id="91"/>
      <w:bookmarkEnd w:id="92"/>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2025年度国有资本经营预算财政拨款支出0万元。</w:t>
      </w:r>
    </w:p>
    <w:p>
      <w:pPr>
        <w:spacing w:line="600" w:lineRule="exact"/>
        <w:ind w:left="630"/>
        <w:jc w:val="both"/>
        <w:outlineLvl w:val="1"/>
        <w:rPr>
          <w:rStyle w:val="30"/>
          <w:rFonts w:hint="default" w:ascii="Times New Roman" w:hAnsi="Times New Roman" w:eastAsia="黑体" w:cs="Times New Roman"/>
          <w:b w:val="0"/>
        </w:rPr>
      </w:pPr>
      <w:bookmarkStart w:id="93" w:name="_Toc15396612"/>
      <w:bookmarkStart w:id="94" w:name="_Toc197333387_WPSOffice_Level2"/>
      <w:bookmarkStart w:id="95" w:name="_Toc15377221"/>
      <w:r>
        <w:rPr>
          <w:rStyle w:val="30"/>
          <w:rFonts w:hint="default" w:ascii="Times New Roman" w:hAnsi="Times New Roman" w:eastAsia="黑体" w:cs="Times New Roman"/>
          <w:b w:val="0"/>
        </w:rPr>
        <w:t>十、其他重要事项的情况说明</w:t>
      </w:r>
      <w:bookmarkEnd w:id="93"/>
      <w:bookmarkEnd w:id="94"/>
      <w:bookmarkEnd w:id="95"/>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96" w:name="_Toc15377222"/>
      <w:r>
        <w:rPr>
          <w:rFonts w:hint="default" w:ascii="Times New Roman" w:hAnsi="Times New Roman" w:eastAsia="楷体_GB2312" w:cs="Times New Roman"/>
          <w:b/>
          <w:sz w:val="32"/>
          <w:szCs w:val="32"/>
        </w:rPr>
        <w:t>（一）机关运行经费支出情况</w:t>
      </w:r>
      <w:bookmarkEnd w:id="96"/>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bookmarkStart w:id="97" w:name="_Toc15377223"/>
      <w:r>
        <w:rPr>
          <w:rFonts w:hint="default" w:ascii="Times New Roman" w:hAnsi="Times New Roman" w:eastAsia="仿宋_GB2312" w:cs="Times New Roman"/>
          <w:color w:val="auto"/>
          <w:kern w:val="2"/>
          <w:sz w:val="32"/>
          <w:szCs w:val="32"/>
          <w:highlight w:val="none"/>
          <w:lang w:val="en-US" w:eastAsia="zh-CN" w:bidi="ar-SA"/>
        </w:rPr>
        <w:t>2025年度，四川省攀枝花市农业农村局机关运行经费支出</w:t>
      </w:r>
      <w:r>
        <w:rPr>
          <w:rFonts w:hint="default" w:eastAsia="仿宋_GB2312" w:cs="Times New Roman"/>
          <w:color w:val="auto"/>
          <w:kern w:val="2"/>
          <w:sz w:val="32"/>
          <w:szCs w:val="32"/>
          <w:highlight w:val="none"/>
          <w:lang w:val="en" w:eastAsia="zh-CN" w:bidi="ar-SA"/>
        </w:rPr>
        <w:t>268.8</w:t>
      </w:r>
      <w:r>
        <w:rPr>
          <w:rFonts w:hint="default" w:ascii="Times New Roman" w:hAnsi="Times New Roman" w:eastAsia="仿宋_GB2312" w:cs="Times New Roman"/>
          <w:color w:val="auto"/>
          <w:kern w:val="2"/>
          <w:sz w:val="32"/>
          <w:szCs w:val="32"/>
          <w:highlight w:val="none"/>
          <w:lang w:val="en-US" w:eastAsia="zh-CN" w:bidi="ar-SA"/>
        </w:rPr>
        <w:t>万元，比2024年度减少</w:t>
      </w:r>
      <w:r>
        <w:rPr>
          <w:rFonts w:hint="default" w:eastAsia="仿宋_GB2312" w:cs="Times New Roman"/>
          <w:color w:val="auto"/>
          <w:kern w:val="2"/>
          <w:sz w:val="32"/>
          <w:szCs w:val="32"/>
          <w:highlight w:val="none"/>
          <w:lang w:val="en" w:eastAsia="zh-CN" w:bidi="ar-SA"/>
        </w:rPr>
        <w:t>134.41</w:t>
      </w:r>
      <w:r>
        <w:rPr>
          <w:rFonts w:hint="default" w:ascii="Times New Roman" w:hAnsi="Times New Roman" w:eastAsia="仿宋_GB2312" w:cs="Times New Roman"/>
          <w:color w:val="auto"/>
          <w:kern w:val="2"/>
          <w:sz w:val="32"/>
          <w:szCs w:val="32"/>
          <w:highlight w:val="none"/>
          <w:lang w:val="en-US" w:eastAsia="zh-CN" w:bidi="ar-SA"/>
        </w:rPr>
        <w:t>万元，下降</w:t>
      </w:r>
      <w:r>
        <w:rPr>
          <w:rFonts w:hint="default" w:eastAsia="仿宋_GB2312" w:cs="Times New Roman"/>
          <w:color w:val="auto"/>
          <w:kern w:val="2"/>
          <w:sz w:val="32"/>
          <w:szCs w:val="32"/>
          <w:highlight w:val="none"/>
          <w:lang w:val="en" w:eastAsia="zh-CN" w:bidi="ar-SA"/>
        </w:rPr>
        <w:t>33.3</w:t>
      </w:r>
      <w:r>
        <w:rPr>
          <w:rFonts w:hint="default" w:ascii="Times New Roman" w:hAnsi="Times New Roman" w:eastAsia="仿宋_GB2312" w:cs="Times New Roman"/>
          <w:color w:val="auto"/>
          <w:kern w:val="2"/>
          <w:sz w:val="32"/>
          <w:szCs w:val="32"/>
          <w:highlight w:val="none"/>
          <w:lang w:val="en-US" w:eastAsia="zh-CN" w:bidi="ar-SA"/>
        </w:rPr>
        <w:t>%。主要原因是：</w:t>
      </w:r>
      <w:r>
        <w:rPr>
          <w:rFonts w:hint="default" w:ascii="Times New Roman" w:hAnsi="Times New Roman" w:eastAsia="仿宋_GB2312" w:cs="Times New Roman"/>
          <w:color w:val="auto"/>
          <w:kern w:val="2"/>
          <w:sz w:val="32"/>
          <w:szCs w:val="32"/>
          <w:highlight w:val="none"/>
          <w:lang w:val="en" w:eastAsia="zh-CN" w:bidi="ar-SA"/>
        </w:rPr>
        <w:t>严格落实</w:t>
      </w:r>
      <w:r>
        <w:rPr>
          <w:rFonts w:hint="default" w:ascii="Times New Roman" w:hAnsi="Times New Roman" w:eastAsia="仿宋_GB2312" w:cs="Times New Roman"/>
          <w:color w:val="auto"/>
          <w:kern w:val="2"/>
          <w:sz w:val="32"/>
          <w:szCs w:val="32"/>
          <w:highlight w:val="none"/>
          <w:lang w:val="en-US" w:eastAsia="zh-CN" w:bidi="ar-SA"/>
        </w:rPr>
        <w:t>“过紧日子”</w:t>
      </w:r>
      <w:r>
        <w:rPr>
          <w:rFonts w:hint="default" w:ascii="Times New Roman" w:hAnsi="Times New Roman" w:eastAsia="仿宋_GB2312" w:cs="Times New Roman"/>
          <w:color w:val="auto"/>
          <w:kern w:val="2"/>
          <w:sz w:val="32"/>
          <w:szCs w:val="32"/>
          <w:highlight w:val="none"/>
          <w:lang w:val="en" w:eastAsia="zh-CN" w:bidi="ar-SA"/>
        </w:rPr>
        <w:t>要求，持续压减一般性支出，同时优化办公设备运维和能耗管理，有效降低日常运行成本。</w:t>
      </w:r>
    </w:p>
    <w:p>
      <w:pPr>
        <w:spacing w:line="600" w:lineRule="exact"/>
        <w:ind w:firstLine="642" w:firstLineChars="200"/>
        <w:jc w:val="both"/>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（二）政府采购支出情况</w:t>
      </w:r>
      <w:bookmarkEnd w:id="97"/>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2025年度，四川省攀枝花市农业农村局政府采购支出总额317.88万元，其中：政府采购货物支出44.59万元、政府采购工程支出0万元、政府采购服务支出273.29万元。主要用于农业经理人“百千万”培养计划项目人才服务采购、2025市级财政衔接推进乡村振兴补助资金项目农林牧渔产品采购、公务用车维护支出采购。授予中小企业合同金额64.15万元，占政府采购支出总额的20.2%，其中：授予小微企业合同金额54.4万元，占政府采购支出总额的17.1%。</w:t>
      </w:r>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98" w:name="_Toc15377224"/>
      <w:r>
        <w:rPr>
          <w:rFonts w:hint="default" w:ascii="Times New Roman" w:hAnsi="Times New Roman" w:eastAsia="楷体_GB2312" w:cs="Times New Roman"/>
          <w:b/>
          <w:sz w:val="32"/>
          <w:szCs w:val="32"/>
        </w:rPr>
        <w:t>（三）国有资产占有使用情况</w:t>
      </w:r>
      <w:bookmarkEnd w:id="98"/>
    </w:p>
    <w:p>
      <w:pPr>
        <w:spacing w:line="600" w:lineRule="exact"/>
        <w:ind w:firstLine="64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auto"/>
          <w:kern w:val="2"/>
          <w:sz w:val="32"/>
          <w:szCs w:val="32"/>
          <w:highlight w:val="none"/>
          <w:lang w:val="en-US" w:eastAsia="zh-CN" w:bidi="ar-SA"/>
        </w:rPr>
        <w:t>截至2025年12月31日，四川省攀枝花市农业农村局共有车辆12辆，其中：主要负责人用车0辆、机要通信用车0辆、应急保障用车0辆、特种专业技术用车3辆、执法执勤用车1辆、其他用车8辆，其他用车主要是用于开展日常下乡、外出检查等需派车前往的工作。</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单价100万元（含）以上设备（不含车辆）3台（套），主要为攀西无公害农产品监测中心检验设备。</w:t>
      </w:r>
    </w:p>
    <w:p>
      <w:pPr>
        <w:spacing w:line="600" w:lineRule="exact"/>
        <w:ind w:firstLine="642" w:firstLineChars="200"/>
        <w:jc w:val="both"/>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pPr>
        <w:spacing w:line="600" w:lineRule="exact"/>
        <w:ind w:firstLine="64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根据预算绩效管理要求，本部门在2025年度预算编制阶段，组织对烤烟保险费、长江禁捕及资源保护等21个项目开展了预算事前绩效评估，对21个项目编制了绩效目标，预算执行过程中，选取21个项目开展绩效监控。</w:t>
      </w:r>
    </w:p>
    <w:p>
      <w:pPr>
        <w:spacing w:line="600" w:lineRule="exact"/>
        <w:ind w:firstLine="64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组织对2025年度一般公共预算、政府性基金预算、国有资本经营预算、社会保险基金预算以及资本资产、债券资金等全面开展绩效自评，形成攀枝花市农业农村局部门整体（含部门预算项目）绩效自评报告，其中，攀枝花市农业农村局部门整体（含部门预算项目）绩效自评得分为92.4分，绩效自评综述：绩效目标基本完成，预算执行情况良好，但在部分环节仍存在优化空间。绩效自评报告详见附件。</w:t>
      </w:r>
    </w:p>
    <w:p>
      <w:pPr>
        <w:spacing w:line="600" w:lineRule="exact"/>
        <w:ind w:firstLine="640"/>
        <w:jc w:val="both"/>
        <w:rPr>
          <w:rFonts w:hint="default" w:ascii="Times New Roman" w:hAnsi="Times New Roman" w:eastAsia="仿宋_GB2312" w:cs="Times New Roman"/>
          <w:sz w:val="32"/>
          <w:szCs w:val="32"/>
        </w:rPr>
      </w:pPr>
    </w:p>
    <w:p>
      <w:pPr>
        <w:spacing w:line="600" w:lineRule="exact"/>
        <w:jc w:val="both"/>
        <w:outlineLvl w:val="0"/>
        <w:rPr>
          <w:rFonts w:hint="default" w:ascii="Times New Roman" w:hAnsi="Times New Roman" w:eastAsia="黑体" w:cs="Times New Roman"/>
          <w:sz w:val="44"/>
          <w:szCs w:val="44"/>
        </w:rPr>
      </w:pPr>
      <w:bookmarkStart w:id="99" w:name="_Toc15377225"/>
      <w:bookmarkStart w:id="100" w:name="_Toc15396613"/>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pStyle w:val="13"/>
        <w:jc w:val="both"/>
        <w:rPr>
          <w:rFonts w:hint="default" w:ascii="Times New Roman" w:hAnsi="Times New Roman" w:eastAsia="黑体" w:cs="Times New Roman"/>
          <w:sz w:val="44"/>
          <w:szCs w:val="44"/>
        </w:rPr>
      </w:pPr>
    </w:p>
    <w:p>
      <w:pPr>
        <w:pStyle w:val="7"/>
        <w:rPr>
          <w:rFonts w:hint="default" w:ascii="Times New Roman" w:hAnsi="Times New Roman" w:eastAsia="黑体" w:cs="Times New Roman"/>
          <w:sz w:val="44"/>
          <w:szCs w:val="44"/>
        </w:rPr>
      </w:pPr>
    </w:p>
    <w:p>
      <w:pPr>
        <w:rPr>
          <w:rFonts w:hint="default" w:ascii="Times New Roman" w:hAnsi="Times New Roman" w:cs="Times New Roman"/>
        </w:rPr>
      </w:pPr>
    </w:p>
    <w:p>
      <w:pPr>
        <w:pStyle w:val="7"/>
        <w:ind w:left="0" w:leftChars="0" w:firstLine="0" w:firstLineChars="0"/>
        <w:jc w:val="both"/>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bookmarkStart w:id="101" w:name="_Toc925760867_WPSOffice_Level1"/>
    </w:p>
    <w:p>
      <w:pPr>
        <w:spacing w:line="600" w:lineRule="exact"/>
        <w:jc w:val="center"/>
        <w:outlineLvl w:val="0"/>
        <w:rPr>
          <w:rFonts w:hint="default" w:ascii="Times New Roman" w:hAnsi="Times New Roman" w:eastAsia="黑体" w:cs="Times New Roman"/>
          <w:sz w:val="44"/>
          <w:szCs w:val="44"/>
        </w:rPr>
      </w:pPr>
      <w:bookmarkStart w:id="139" w:name="_GoBack"/>
      <w:bookmarkEnd w:id="139"/>
      <w:r>
        <w:rPr>
          <w:rFonts w:hint="default" w:ascii="Times New Roman" w:hAnsi="Times New Roman" w:eastAsia="黑体" w:cs="Times New Roman"/>
          <w:sz w:val="44"/>
          <w:szCs w:val="44"/>
        </w:rPr>
        <w:t>第三部分  名词解释</w:t>
      </w:r>
      <w:bookmarkEnd w:id="99"/>
      <w:bookmarkEnd w:id="100"/>
      <w:bookmarkEnd w:id="101"/>
    </w:p>
    <w:p>
      <w:pPr>
        <w:spacing w:line="600" w:lineRule="exact"/>
        <w:jc w:val="both"/>
        <w:rPr>
          <w:rFonts w:hint="default" w:ascii="Times New Roman" w:hAnsi="Times New Roman" w:cs="Times New Roman"/>
          <w:b/>
          <w:sz w:val="44"/>
          <w:szCs w:val="44"/>
        </w:rPr>
      </w:pPr>
    </w:p>
    <w:p>
      <w:pPr>
        <w:spacing w:line="600" w:lineRule="exact"/>
        <w:ind w:firstLine="640"/>
        <w:jc w:val="both"/>
        <w:rPr>
          <w:rFonts w:hint="default" w:ascii="Times New Roman" w:hAnsi="Times New Roman" w:eastAsia="仿宋_GB2312" w:cs="Times New Roman"/>
          <w:sz w:val="32"/>
          <w:szCs w:val="32"/>
        </w:rPr>
      </w:pPr>
      <w:bookmarkStart w:id="102" w:name="_Toc15377226"/>
      <w:r>
        <w:rPr>
          <w:rFonts w:hint="default" w:ascii="Times New Roman" w:hAnsi="Times New Roman" w:eastAsia="仿宋_GB2312" w:cs="Times New Roman"/>
          <w:sz w:val="32"/>
          <w:szCs w:val="32"/>
        </w:rPr>
        <w:t>1.财政拨款收入：指单位从同级财政部门取得的财政预算资金。</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2.其他收入：指单位取得的除上述收入以外的各项收入。主要是银行利息收入。</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3.年初结转和结余：指以前年度尚未完成、结转到本年按有关规定继续使用的资金。</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4.结余分配：指事业单位按照会计制度规定缴纳的所得税、提取的专用结余以及转入非财政拨款结余的金额等。</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5.年末结转和结余：指单位按有关规定结转到下年或以后年度继续使用的资金。</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6.一般公共服务（类）组织事务（款）其他组织事务支出（项）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用于援藏援彝干部生活补助支出。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7.社会保障和就业（类）行政事业单位养老支出（款）行政单位离退休（项）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反映行政单位（包括实行公务员管理的事业单位）开支的离退休经费。</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8.社会保障和就业（类）行政事业单位养老支出（款）事业单位离退休（项）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反映事业单位开支的离退休经费。</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9.社会保障和就业（类）行政事业单位养老支出（款）机关事业单位基本养老保险缴费支出（项）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反映机关事业单位实施养老保险制度由单位缴纳的基本养老保险费支出。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10.社会保障和就业（类）社会福利（款）儿童福利（项）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反映对儿童提供福利服务方面的支出。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11.农林水支出（类）农业农村（款）行政运行（项）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反映行政单位（包括实行公务员管理的事业单位）的基本支出。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12.农林水支出（类）农业农村（款）事业运行（项）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反映用于农业事业单位基本支出，事业单位设施、系统运行与资产维护等方面的支出。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13.农林水支出（类）农业农村（款）农产品质量安全（项）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反映用于农产品及其投入品的质量安全评估、监测、抽查、认证、应急处置，相关标准的制定、修订、实施、监管等方面的支出。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14.农林水支出（类）农业农村（款）耕地建设与利用（项）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反映用于农田建设和田间水利相关工程建设、盐碱地综合利用、黑土地保护、耕地轮作休耕、耕地质量提升等方面的支出。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15.农林水支出（类）农业农村（款）其他农业农村支出（项）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反映其他用于农业农村方面的支出。</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16.住房保障支出（类）住房改革支出（款）住房公积金（项）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反映行政事业单位按人力资源和社会保障部、财政部规定的基本工资和津贴补贴以及规定比例为职工缴纳的住房公积金。</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.基本支出：指为保障机构正常运转、完成日常工作任务而发生的人员支出和公用支出。</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w:t>
      </w:r>
      <w:r>
        <w:rPr>
          <w:rFonts w:hint="eastAsia" w:ascii="Times New Roman" w:hAnsi="Times New Roman" w:eastAsia="仿宋_GB2312" w:cs="仿宋_GB2312"/>
          <w:color w:val="auto"/>
          <w:kern w:val="2"/>
          <w:sz w:val="32"/>
          <w:szCs w:val="32"/>
          <w:highlight w:val="none"/>
          <w:lang w:val="en-US" w:eastAsia="zh-CN" w:bidi="ar-SA"/>
        </w:rPr>
        <w:t>公务用车购置及运行费反映单位</w:t>
      </w:r>
      <w:r>
        <w:rPr>
          <w:rFonts w:hint="eastAsia" w:eastAsia="仿宋_GB2312" w:cs="仿宋_GB2312"/>
          <w:color w:val="auto"/>
          <w:kern w:val="2"/>
          <w:sz w:val="32"/>
          <w:szCs w:val="32"/>
          <w:highlight w:val="none"/>
          <w:lang w:val="en-US" w:eastAsia="zh-CN" w:bidi="ar-SA"/>
        </w:rPr>
        <w:t>按规定保留的公务用车燃料费、新能源汽车充电费、维修费、过桥过路费、保险费、安全奖励费等支出</w:t>
      </w:r>
      <w:r>
        <w:rPr>
          <w:rFonts w:hint="eastAsia" w:ascii="Times New Roman" w:hAnsi="Times New Roman" w:eastAsia="仿宋_GB2312" w:cs="仿宋_GB2312"/>
          <w:color w:val="auto"/>
          <w:kern w:val="2"/>
          <w:sz w:val="32"/>
          <w:szCs w:val="32"/>
          <w:highlight w:val="none"/>
          <w:lang w:val="en-US" w:eastAsia="zh-CN" w:bidi="ar-SA"/>
        </w:rPr>
        <w:t>；公务接待费反映单位按规定开支的各类公务接待（含外宾接待）支出。</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hint="default" w:ascii="Times New Roman" w:hAnsi="Times New Roman" w:eastAsia="黑体" w:cs="Times New Roman"/>
          <w:color w:val="FF0000"/>
          <w:sz w:val="32"/>
          <w:szCs w:val="32"/>
        </w:rPr>
      </w:pPr>
      <w:r>
        <w:rPr>
          <w:rFonts w:hint="default" w:ascii="Times New Roman" w:hAnsi="Times New Roman" w:eastAsia="仿宋_GB2312" w:cs="Times New Roman"/>
          <w:sz w:val="32"/>
          <w:szCs w:val="32"/>
        </w:rPr>
        <w:br w:type="page"/>
      </w:r>
      <w:bookmarkStart w:id="103" w:name="_Toc1334432898_WPSOffice_Level1"/>
      <w:bookmarkStart w:id="104" w:name="_Toc15396614"/>
      <w:r>
        <w:rPr>
          <w:rFonts w:hint="default" w:ascii="Times New Roman" w:hAnsi="Times New Roman" w:eastAsia="黑体" w:cs="Times New Roman"/>
          <w:sz w:val="44"/>
          <w:szCs w:val="44"/>
        </w:rPr>
        <w:t>第四部分  附件</w:t>
      </w:r>
      <w:bookmarkEnd w:id="103"/>
      <w:bookmarkEnd w:id="104"/>
    </w:p>
    <w:p>
      <w:pPr>
        <w:pStyle w:val="13"/>
        <w:jc w:val="both"/>
        <w:rPr>
          <w:rFonts w:hint="default" w:ascii="Times New Roman" w:hAnsi="Times New Roman" w:cs="Times New Roman"/>
        </w:rPr>
      </w:pPr>
    </w:p>
    <w:p>
      <w:pPr>
        <w:spacing w:line="572" w:lineRule="exact"/>
        <w:jc w:val="both"/>
        <w:outlineLvl w:val="0"/>
        <w:rPr>
          <w:rFonts w:hint="default" w:ascii="Times New Roman" w:hAnsi="Times New Roman" w:eastAsia="黑体" w:cs="Times New Roman"/>
          <w:sz w:val="44"/>
          <w:szCs w:val="44"/>
        </w:rPr>
      </w:pPr>
      <w:r>
        <w:rPr>
          <w:rFonts w:hint="default" w:ascii="Times New Roman" w:hAnsi="Times New Roman" w:eastAsia="黑体" w:cs="Times New Roman"/>
          <w:sz w:val="32"/>
          <w:szCs w:val="32"/>
        </w:rPr>
        <w:t>附件1</w:t>
      </w:r>
    </w:p>
    <w:p>
      <w:pPr>
        <w:widowControl/>
        <w:spacing w:line="578" w:lineRule="exact"/>
        <w:contextualSpacing/>
        <w:jc w:val="both"/>
        <w:rPr>
          <w:rFonts w:hint="default" w:ascii="Times New Roman" w:hAnsi="Times New Roman" w:eastAsia="方正小标宋简体" w:cs="Times New Roman"/>
          <w:bCs/>
          <w:sz w:val="44"/>
          <w:szCs w:val="44"/>
          <w:shd w:val="clear" w:color="auto" w:fill="FFFFFF"/>
        </w:rPr>
      </w:pPr>
    </w:p>
    <w:p>
      <w:pPr>
        <w:widowControl/>
        <w:spacing w:line="578" w:lineRule="exact"/>
        <w:contextualSpacing/>
        <w:jc w:val="center"/>
        <w:rPr>
          <w:rFonts w:hint="default" w:ascii="Times New Roman" w:hAnsi="Times New Roman" w:eastAsia="方正小标宋简体" w:cs="Times New Roman"/>
          <w:bCs/>
          <w:sz w:val="44"/>
          <w:szCs w:val="44"/>
          <w:shd w:val="clear" w:color="auto" w:fill="FFFFFF"/>
        </w:rPr>
      </w:pPr>
      <w:bookmarkStart w:id="105" w:name="_Toc1169223123_WPSOffice_Level2"/>
      <w:r>
        <w:rPr>
          <w:rFonts w:hint="default" w:ascii="Times New Roman" w:hAnsi="Times New Roman" w:eastAsia="方正小标宋简体" w:cs="Times New Roman"/>
          <w:bCs/>
          <w:sz w:val="44"/>
          <w:szCs w:val="44"/>
          <w:shd w:val="clear" w:color="auto" w:fill="FFFFFF"/>
        </w:rPr>
        <w:t>部门预算绩效评价报告范本</w:t>
      </w:r>
      <w:bookmarkEnd w:id="105"/>
    </w:p>
    <w:p>
      <w:pPr>
        <w:widowControl/>
        <w:spacing w:line="578" w:lineRule="exact"/>
        <w:contextualSpacing/>
        <w:jc w:val="center"/>
        <w:rPr>
          <w:rFonts w:hint="default" w:ascii="Times New Roman" w:hAnsi="Times New Roman" w:eastAsia="仿宋_GB2312" w:cs="Times New Roman"/>
          <w:sz w:val="32"/>
          <w:szCs w:val="32"/>
          <w:shd w:val="clear" w:color="auto" w:fill="FFFFFF"/>
        </w:rPr>
      </w:pPr>
      <w:bookmarkStart w:id="106" w:name="_Toc1402899585_WPSOffice_Level2"/>
      <w:r>
        <w:rPr>
          <w:rFonts w:hint="default" w:ascii="Times New Roman" w:hAnsi="Times New Roman" w:eastAsia="仿宋_GB2312" w:cs="Times New Roman"/>
          <w:sz w:val="32"/>
          <w:szCs w:val="32"/>
          <w:shd w:val="clear" w:color="auto" w:fill="FFFFFF"/>
        </w:rPr>
        <w:t>（报告范围包括机关和下属单位）</w:t>
      </w:r>
      <w:bookmarkEnd w:id="106"/>
    </w:p>
    <w:p>
      <w:pPr>
        <w:widowControl/>
        <w:adjustRightInd w:val="0"/>
        <w:snapToGrid w:val="0"/>
        <w:spacing w:line="578" w:lineRule="exact"/>
        <w:ind w:firstLine="480" w:firstLineChars="200"/>
        <w:contextualSpacing/>
        <w:jc w:val="both"/>
        <w:rPr>
          <w:rFonts w:hint="default" w:ascii="Times New Roman" w:hAnsi="Times New Roman" w:eastAsia="黑体" w:cs="Times New Roman"/>
          <w:color w:val="000000"/>
          <w:kern w:val="0"/>
          <w:sz w:val="24"/>
          <w:szCs w:val="32"/>
          <w:shd w:val="clear" w:color="auto" w:fill="FFFFFF"/>
        </w:rPr>
      </w:pP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bookmarkStart w:id="107" w:name="_Toc1708337376_WPSOffice_Level2"/>
      <w:r>
        <w:rPr>
          <w:rFonts w:hint="default" w:ascii="Times New Roman" w:hAnsi="Times New Roman" w:eastAsia="黑体" w:cs="Times New Roman"/>
          <w:color w:val="000000"/>
          <w:kern w:val="0"/>
          <w:sz w:val="32"/>
          <w:szCs w:val="32"/>
          <w:shd w:val="clear" w:fill="FFFFFF"/>
          <w:lang w:val="en-US" w:eastAsia="zh-CN" w:bidi="ar"/>
        </w:rPr>
        <w:t>一、部门（单位）基本情况</w:t>
      </w:r>
      <w:bookmarkEnd w:id="107"/>
    </w:p>
    <w:p>
      <w:pPr>
        <w:keepNext w:val="0"/>
        <w:keepLines w:val="0"/>
        <w:widowControl/>
        <w:suppressLineNumbers w:val="0"/>
        <w:adjustRightInd w:val="0"/>
        <w:snapToGrid w:val="0"/>
        <w:spacing w:before="0" w:beforeAutospacing="0" w:after="0" w:afterAutospacing="0" w:line="578" w:lineRule="exact"/>
        <w:ind w:left="0" w:right="0" w:firstLine="642"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b/>
          <w:color w:val="000000"/>
          <w:kern w:val="0"/>
          <w:sz w:val="32"/>
          <w:szCs w:val="32"/>
          <w:shd w:val="clear" w:fill="FFFFFF"/>
          <w:lang w:val="en-US" w:eastAsia="zh-CN" w:bidi="ar"/>
        </w:rPr>
        <w:t>（一）机构组成。</w:t>
      </w:r>
    </w:p>
    <w:p>
      <w:pPr>
        <w:keepNext w:val="0"/>
        <w:keepLines w:val="0"/>
        <w:widowControl w:val="0"/>
        <w:suppressLineNumbers w:val="0"/>
        <w:pBdr>
          <w:top w:val="single" w:color="FFFFFF" w:sz="4" w:space="1"/>
          <w:left w:val="single" w:color="FFFFFF" w:sz="4" w:space="4"/>
          <w:bottom w:val="single" w:color="FFFFFF" w:sz="4" w:space="1"/>
          <w:right w:val="single" w:color="FFFFFF" w:sz="4" w:space="4"/>
        </w:pBdr>
        <w:adjustRightInd w:val="0"/>
        <w:snapToGrid w:val="0"/>
        <w:spacing w:before="0" w:beforeAutospacing="0" w:after="0" w:afterAutospacing="0" w:line="600" w:lineRule="exact"/>
        <w:ind w:left="0" w:right="0" w:firstLine="627" w:firstLineChars="196"/>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市农业农村局部门下属独立核算单位2个，其中行政单位1个，其他事业单位1个。主要包括：市农业农村局机关、攀西无公害农产品监测中心。</w:t>
      </w:r>
    </w:p>
    <w:tbl>
      <w:tblPr>
        <w:tblStyle w:val="16"/>
        <w:tblW w:w="8287"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005"/>
        <w:gridCol w:w="6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2005"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widowControl/>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val="en-US" w:eastAsia="zh-CN" w:bidi="ar"/>
              </w:rPr>
              <w:t>序号</w:t>
            </w:r>
          </w:p>
        </w:tc>
        <w:tc>
          <w:tcPr>
            <w:tcW w:w="6282" w:type="dxa"/>
            <w:tcBorders>
              <w:top w:val="single" w:color="auto" w:sz="4" w:space="0"/>
              <w:left w:val="nil"/>
              <w:bottom w:val="single" w:color="auto" w:sz="4" w:space="0"/>
              <w:right w:val="single" w:color="auto" w:sz="4" w:space="0"/>
            </w:tcBorders>
            <w:shd w:val="clear" w:color="auto" w:fill="auto"/>
            <w:vAlign w:val="top"/>
          </w:tcPr>
          <w:p>
            <w:pPr>
              <w:pStyle w:val="15"/>
              <w:keepNext w:val="0"/>
              <w:keepLines w:val="0"/>
              <w:widowControl/>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val="en-US" w:eastAsia="zh-CN" w:bidi="ar"/>
              </w:rPr>
              <w:t>预算单位名称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005"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widowControl/>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val="en-US" w:eastAsia="zh-CN" w:bidi="ar"/>
              </w:rPr>
              <w:t>1</w:t>
            </w:r>
          </w:p>
        </w:tc>
        <w:tc>
          <w:tcPr>
            <w:tcW w:w="6282" w:type="dxa"/>
            <w:tcBorders>
              <w:top w:val="single" w:color="auto" w:sz="4" w:space="0"/>
              <w:left w:val="nil"/>
              <w:bottom w:val="single" w:color="auto" w:sz="4" w:space="0"/>
              <w:right w:val="single" w:color="auto" w:sz="4" w:space="0"/>
            </w:tcBorders>
            <w:shd w:val="clear" w:color="auto" w:fill="auto"/>
            <w:vAlign w:val="top"/>
          </w:tcPr>
          <w:p>
            <w:pPr>
              <w:pStyle w:val="15"/>
              <w:keepNext w:val="0"/>
              <w:keepLines w:val="0"/>
              <w:widowControl/>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val="en-US" w:eastAsia="zh-CN" w:bidi="ar"/>
              </w:rPr>
              <w:t>市农业农村局机关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005"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widowControl/>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val="en-US" w:eastAsia="zh-CN" w:bidi="ar"/>
              </w:rPr>
              <w:t>2</w:t>
            </w:r>
          </w:p>
        </w:tc>
        <w:tc>
          <w:tcPr>
            <w:tcW w:w="6282" w:type="dxa"/>
            <w:tcBorders>
              <w:top w:val="single" w:color="auto" w:sz="4" w:space="0"/>
              <w:left w:val="nil"/>
              <w:bottom w:val="single" w:color="auto" w:sz="4" w:space="0"/>
              <w:right w:val="single" w:color="auto" w:sz="4" w:space="0"/>
            </w:tcBorders>
            <w:shd w:val="clear" w:color="auto" w:fill="auto"/>
            <w:vAlign w:val="top"/>
          </w:tcPr>
          <w:p>
            <w:pPr>
              <w:pStyle w:val="15"/>
              <w:keepNext w:val="0"/>
              <w:keepLines w:val="0"/>
              <w:widowControl/>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val="en-US" w:eastAsia="zh-CN" w:bidi="ar"/>
              </w:rPr>
              <w:t>攀西无公害农产品监测中心</w:t>
            </w:r>
          </w:p>
        </w:tc>
      </w:tr>
    </w:tbl>
    <w:p>
      <w:pPr>
        <w:keepNext w:val="0"/>
        <w:keepLines w:val="0"/>
        <w:widowControl/>
        <w:suppressLineNumbers w:val="0"/>
        <w:adjustRightInd w:val="0"/>
        <w:snapToGrid w:val="0"/>
        <w:spacing w:before="0" w:beforeAutospacing="0" w:after="0" w:afterAutospacing="0" w:line="578" w:lineRule="exact"/>
        <w:ind w:right="0"/>
        <w:contextualSpacing/>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b/>
          <w:color w:val="000000"/>
          <w:kern w:val="0"/>
          <w:sz w:val="32"/>
          <w:szCs w:val="32"/>
          <w:shd w:val="clear" w:fill="FFFFFF"/>
          <w:lang w:val="en-US" w:eastAsia="zh-CN" w:bidi="ar"/>
        </w:rPr>
        <w:t xml:space="preserve">   （二）机构职能。</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统筹研究和组织实施全市以乡村振兴为重心的“三农”工作发展战略、中长期规划、重大政策。组织起草农业农村和乡村振兴有关地方性法规、政府规章草案。贯彻执行国家有关种植业、畜牧业（草原牧业）、渔业、农业机械化、农垦等农业领域工作的法律、法规、政策以及省委省政府、市委市政府关于“三农”方面的决策部署。参与涉农的财税、价格、收储、金融保险、进出口等政策制定。</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2.统筹推动发展农村社会事业、农村公共服务、农村文化、农村基础设施和乡村治理。牵头组织改善全市农村人居环境。指导农业文化遗产的保护传承和开发利用。指导农村精神文明和优秀农耕文化建设。</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负责农民承包地、农村宅基地、农村集体产权制度改革和管理有关工作。拟订深化全市农村经济体制改革和巩固完善农村基本经营制度的政策措施。指导农村集体经济组织发展、集体资产和财务管理工作。拟订农业产业化经营的发展规划与政策并组织实施，指导农民合作经济组织、农业社会化服务体系、新型农业经营主体建设与发展。指导、监督减轻农民负担工作。</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负责巩固拓展脱贫攻坚成果有关工作。牵头开展防止返贫监测和帮扶，组织拟订乡村振兴重点帮扶地区帮扶政策，组织开展定点帮扶、社会帮扶、易地搬迁后续扶持，会同有关部门组织实施过渡期内巩固拓展脱贫攻坚成果相关考核评估工作，研究提出市级财政衔接推进乡村振兴相关资金分配建议方案，指导、监督中央和省、市级财政衔接推进乡村振兴相关资金使用，推动乡村帮扶产业发展。承担农村低收入人口常态化帮扶有关工作，构建长效帮扶机制。</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负责指导全市乡村特色产业、农产品加工业（产地初加工）、休闲农业和乡村企业发展工作，推动延长农产品产业链。指导特色农产品优势区建设和管理工作。组织拟订并实施现代农业园区的政策与规划，负责现代农业园区评定工作。提出促进大宗农产品流通政策和主要农产品进口建议，研究制定大宗农产品市场体系建设与发展规划。培育、保护和发展农业品牌，组织协调“菜篮子”工程有关工作。负责农业信息体系建设，推动数字农业发展。发布农业农村经济信息，监测分析农业农村经济运行。承担农业统计工作。</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负责全市种植业、畜牧业（草原牧业）、渔业、农垦、农业机械化等农业各产业的监督管理。指导粮食等农产品生产，推进构建多元化食物供给体系。指导粮食生产功能区和重要农产品生产保护区建设和管理工作。组织构建现代农业产业体系、生产体系、经营体系，指导农业标准化、规模化生产。落实促进粮油、畜禽、水产等主要农产品生产发展的相关政策措施，引导农业产业结构调整和产品品质改善，促进农业绿色发展。负责渔政渔港、网具监督管理。</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负责制定全市农业机械化发展规划并组织实施。组织开展农业机械重大关键技术攻关，引进、示范和推广农业机械新技术、新机具，指导全市农业机械基础设施的规划建设和管理工作。指导设施农业、农机库棚、机电提灌、农业机械作业通行条件等基础设施建设。</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8.负责全市农产品质量安全监督管理。组织开展农产品质量安全监测、追溯、风险评估。发布有关农产品质量安全状况信息，提出技术性贸易措施建议。参与制定农产品质量安全地方标准并会同有关部门组织实施。指导农业检验检测体系建设。依法组织实施符合安全标准的农产品生产基地认定、产品认证、农产品地理标志保护和监督管理。</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9.负责耕地、永久基本农田质量保护和高标准农田建设工作。负责全市农田建设管理。编制农业综合开发项目、农田建设项目、农田整治项目、农田水利建设项目的年度计划，并组织实施和管理。组织开展全市农业资源区划和资源保护工作。指导农用地、渔业水域以及农业生物物种资源的保护与管理，负责水生野生动植物保护。负责农村能源建设和资源环境工作。指导农产品产地环境管理和农业清洁生产，提出划定农产品禁止生产区域的政策建议，指导设施农业、生态循环农业、节水农业发展以及农村可再生能源综合开发利用、农业生物质产业发展。</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10.负责全市有关农业生产资料和农业投入品的监督管理。组织农业生产资料市场体系建设，承担农作物种子（种苗）、食用菌种、蚕种、饲草良种、种畜禽、水产苗种、农药、兽药（渔药）、饲料、饲料添加剂等农业生产资料的监督管理职责，牵头负责“瘦肉精”监督管理工作。监督管理兽医医疗器械、肥料。拟订有关农业生产资料地方标准并监督实施，会同有关部门监督实施农业生产资料国家标准。牵头拟订种业振兴政策并组织实施。组织兽医医政、兽药（渔药）药政药检工作，负责执业兽医和畜禽屠宰行业管理。</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11.负责全市农业防灾减灾、农作物重大病虫害防治工作。会同有关部门制定动植物防疫检疫政策并指导实施。指导动植物防疫检疫体系建设，组织监督管理市内动植物防疫检疫工作，发布疫情并组织扑灭。组织植物检疫性有害生物普查。牵头管理外来农业物种。监测、核查、发布农业灾情，组织种子、种苗、化肥、兽药（渔药）等农业生产救灾物资的储备和调拨，提出生产救灾资金安排建议，指导紧急救灾和灾后生产恢复。</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12.负责全市农业投资管理。提出农业投融资体制机制改革建议。编制中央和省、市级投资安排的农业投资项目建设规划，提出农业投资规模和方向、扶持农业农村发展财政项目的建议，按规定权限审批农业投资项目，负责农业投资项目资金安排、监督检查和绩效管理。</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13.制定全市农业科研、农技推广的规划、计划和有关政策并组织实施，牵头推动农业科技体制改革和科技创新体系建设。指导农业产业技术体系和农技推广体系建设，组织农作物、畜禽、水产养殖等新品种育种攻关和农业先进技术引进、试验、转化、示范、推广。负责农业转基因生物安全监督管理和农业植物新品种保护。</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14.指导全市农业农村人才工作。拟订农业农村人才队伍建设规划并组织实施，指导农业教育和农业职业技能开发，指导高素质农民培育、农业科技人才培养和农村实用人才培训工作。</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15.牵头开展全市农业对外合作工作。承办政府间农业涉外事务，参与拟订农业对外开放政策和外向型农业发展规划，指导外向型农业发展。组织开展农业贸易促进和有关国际交流合作，落实对外援助政策，具体执行有关农业援外项目。组织开展农业投资促进活动，推动农业开放合作。</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16.指导国有农场的改革与发展。</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17.依法依规负责农业农村安全生产和职业健康监督管理工作。负责农业机械、农（兽）药、饲料、渔业、畜禽屠宰行业安全生产和职业健康的监督管理。负责组织实施农村沼气项目的安全生产和职业健康监督管理。对农业园区的安全生产和职业健康工作实施行业监督管理。负责制定职责范围内的安全生产年度监督检查计划并组织实施。</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18.统筹协调和监督指导全市农业综合执法。负责监督指导重大案件查处和跨区域执法的组织协调工作，负责由市本级办理的涉农违法案件。推进农业依法行政。</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19.负责职责范围内的生态环境保护、审批服务便民化等工作。</w:t>
      </w:r>
    </w:p>
    <w:p>
      <w:pPr>
        <w:keepNext w:val="0"/>
        <w:keepLines w:val="0"/>
        <w:widowControl w:val="0"/>
        <w:suppressLineNumbers w:val="0"/>
        <w:adjustRightInd w:val="0"/>
        <w:snapToGrid w:val="0"/>
        <w:spacing w:before="0" w:beforeAutospacing="0" w:after="0" w:afterAutospacing="0" w:line="576" w:lineRule="exact"/>
        <w:ind w:left="0" w:right="0" w:firstLine="640" w:firstLineChars="200"/>
        <w:jc w:val="both"/>
        <w:rPr>
          <w:rFonts w:hint="default" w:ascii="Times New Roman" w:hAnsi="Times New Roman" w:eastAsia="楷体_GB2312" w:cs="Times New Roman"/>
          <w:b/>
          <w:color w:val="000000"/>
          <w:kern w:val="0"/>
          <w:sz w:val="32"/>
          <w:szCs w:val="32"/>
          <w:shd w:val="clear" w:fill="FFFFFF"/>
        </w:rPr>
      </w:pPr>
      <w:r>
        <w:rPr>
          <w:rFonts w:hint="default" w:ascii="Times New Roman" w:hAnsi="Times New Roman" w:eastAsia="仿宋_GB2312" w:cs="Times New Roman"/>
          <w:kern w:val="2"/>
          <w:sz w:val="32"/>
          <w:szCs w:val="32"/>
          <w:lang w:val="en-US" w:eastAsia="zh-CN" w:bidi="ar"/>
        </w:rPr>
        <w:t>20.完成市委、市政府交办的其他任务。</w:t>
      </w:r>
    </w:p>
    <w:p>
      <w:pPr>
        <w:keepNext w:val="0"/>
        <w:keepLines w:val="0"/>
        <w:widowControl w:val="0"/>
        <w:numPr>
          <w:ilvl w:val="0"/>
          <w:numId w:val="1"/>
        </w:numPr>
        <w:suppressLineNumbers w:val="0"/>
        <w:snapToGrid w:val="0"/>
        <w:spacing w:before="0" w:beforeAutospacing="0" w:after="0" w:afterAutospacing="0" w:line="520" w:lineRule="exact"/>
        <w:ind w:left="0" w:right="0" w:firstLine="642" w:firstLineChars="200"/>
        <w:jc w:val="both"/>
        <w:rPr>
          <w:rFonts w:hint="default" w:ascii="Times New Roman" w:hAnsi="Times New Roman" w:eastAsia="楷体_GB2312" w:cs="Times New Roman"/>
          <w:b/>
          <w:color w:val="000000"/>
          <w:kern w:val="0"/>
          <w:sz w:val="32"/>
          <w:szCs w:val="32"/>
          <w:shd w:val="clear" w:fill="FFFFFF"/>
        </w:rPr>
      </w:pPr>
      <w:r>
        <w:rPr>
          <w:rFonts w:hint="default" w:ascii="Times New Roman" w:hAnsi="Times New Roman" w:eastAsia="楷体_GB2312" w:cs="Times New Roman"/>
          <w:b/>
          <w:color w:val="000000"/>
          <w:kern w:val="0"/>
          <w:sz w:val="32"/>
          <w:szCs w:val="32"/>
          <w:shd w:val="clear" w:fill="FFFFFF"/>
          <w:lang w:val="en-US" w:eastAsia="zh-CN" w:bidi="ar"/>
        </w:rPr>
        <w:t>人员概况。</w:t>
      </w:r>
    </w:p>
    <w:p>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市农业农村局部门2025年共164人，其中行政人员42人，参照公务员法管理事业人员35人，非参公事业人员87人，较</w:t>
      </w:r>
      <w:r>
        <w:rPr>
          <w:rFonts w:hint="eastAsia" w:ascii="Times New Roman" w:hAnsi="Times New Roman" w:eastAsia="仿宋_GB2312" w:cs="Times New Roman"/>
          <w:kern w:val="2"/>
          <w:sz w:val="32"/>
          <w:szCs w:val="32"/>
          <w:lang w:val="en-US" w:eastAsia="zh-CN" w:bidi="ar"/>
        </w:rPr>
        <w:t>上</w:t>
      </w:r>
      <w:r>
        <w:rPr>
          <w:rFonts w:hint="default" w:ascii="Times New Roman" w:hAnsi="Times New Roman" w:eastAsia="仿宋_GB2312" w:cs="Times New Roman"/>
          <w:kern w:val="2"/>
          <w:sz w:val="32"/>
          <w:szCs w:val="32"/>
          <w:lang w:val="en-US" w:eastAsia="zh-CN" w:bidi="ar"/>
        </w:rPr>
        <w:t>年157人增加7人。</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黑体" w:cs="Times New Roman"/>
          <w:color w:val="000000"/>
          <w:kern w:val="0"/>
          <w:sz w:val="32"/>
          <w:szCs w:val="32"/>
          <w:shd w:val="clear" w:fill="FFFFFF"/>
        </w:rPr>
      </w:pPr>
      <w:bookmarkStart w:id="108" w:name="_Toc456439113_WPSOffice_Level2"/>
      <w:r>
        <w:rPr>
          <w:rFonts w:hint="default" w:ascii="Times New Roman" w:hAnsi="Times New Roman" w:eastAsia="黑体" w:cs="Times New Roman"/>
          <w:color w:val="000000"/>
          <w:kern w:val="0"/>
          <w:sz w:val="32"/>
          <w:szCs w:val="32"/>
          <w:shd w:val="clear" w:fill="FFFFFF"/>
          <w:lang w:val="en-US" w:eastAsia="zh-CN" w:bidi="ar"/>
        </w:rPr>
        <w:t>二、部门资金收支情况</w:t>
      </w:r>
      <w:bookmarkEnd w:id="108"/>
    </w:p>
    <w:p>
      <w:pPr>
        <w:keepNext w:val="0"/>
        <w:keepLines w:val="0"/>
        <w:widowControl w:val="0"/>
        <w:suppressLineNumbers w:val="0"/>
        <w:spacing w:before="0" w:beforeAutospacing="0" w:after="0" w:afterAutospacing="0" w:line="60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b/>
          <w:color w:val="000000"/>
          <w:kern w:val="0"/>
          <w:sz w:val="32"/>
          <w:szCs w:val="32"/>
          <w:shd w:val="clear" w:fill="FFFFFF"/>
          <w:lang w:val="en-US" w:eastAsia="zh-CN" w:bidi="ar"/>
        </w:rPr>
        <w:t>（一）收入情况。</w:t>
      </w:r>
      <w:r>
        <w:rPr>
          <w:rFonts w:hint="default" w:ascii="Times New Roman" w:hAnsi="Times New Roman" w:eastAsia="仿宋_GB2312" w:cs="Times New Roman"/>
          <w:kern w:val="2"/>
          <w:sz w:val="32"/>
          <w:szCs w:val="32"/>
          <w:lang w:val="en-US" w:eastAsia="zh-CN" w:bidi="ar"/>
        </w:rPr>
        <w:t>市农业农村局部门2025年收入预算4753.63万元，其中：一般公共预算拨款收入4720.13万元，占99.3%；政府性基金预算拨款收入33.51万元，占0.7%。</w:t>
      </w:r>
    </w:p>
    <w:p>
      <w:pPr>
        <w:keepNext w:val="0"/>
        <w:keepLines w:val="0"/>
        <w:widowControl w:val="0"/>
        <w:suppressLineNumbers w:val="0"/>
        <w:snapToGrid w:val="0"/>
        <w:spacing w:before="0" w:beforeAutospacing="0" w:after="0" w:afterAutospacing="0" w:line="52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b/>
          <w:color w:val="000000"/>
          <w:kern w:val="0"/>
          <w:sz w:val="32"/>
          <w:szCs w:val="32"/>
          <w:shd w:val="clear" w:fill="FFFFFF"/>
          <w:lang w:val="en-US" w:eastAsia="zh-CN" w:bidi="ar"/>
        </w:rPr>
        <w:t>（二）支出情况。</w:t>
      </w:r>
      <w:r>
        <w:rPr>
          <w:rFonts w:hint="default" w:ascii="Times New Roman" w:hAnsi="Times New Roman" w:eastAsia="仿宋_GB2312" w:cs="Times New Roman"/>
          <w:kern w:val="2"/>
          <w:sz w:val="32"/>
          <w:szCs w:val="32"/>
          <w:lang w:val="en-US" w:eastAsia="zh-CN" w:bidi="ar"/>
        </w:rPr>
        <w:t>市农业农村局部门2025年全年支出为4753.63万元，其中基本支出4195.34万元，项目支出558.29万元。具体包括一般公共服务支出7.4万元、社会保障和就业支出629.83万元、卫生健康支出191.96万元、城乡社区支出33.51万元、农林水支出3630.83万元、住房保障支出260.1万元。</w:t>
      </w:r>
    </w:p>
    <w:p>
      <w:pPr>
        <w:keepNext w:val="0"/>
        <w:keepLines w:val="0"/>
        <w:widowControl/>
        <w:suppressLineNumbers w:val="0"/>
        <w:adjustRightInd w:val="0"/>
        <w:snapToGrid w:val="0"/>
        <w:spacing w:before="0" w:beforeAutospacing="0" w:after="0" w:afterAutospacing="0" w:line="578" w:lineRule="exact"/>
        <w:ind w:left="0" w:right="0" w:firstLine="642"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b/>
          <w:color w:val="000000"/>
          <w:kern w:val="0"/>
          <w:sz w:val="32"/>
          <w:szCs w:val="32"/>
          <w:shd w:val="clear" w:fill="FFFFFF"/>
          <w:lang w:val="en-US" w:eastAsia="zh-CN" w:bidi="ar"/>
        </w:rPr>
        <w:t>（三）</w:t>
      </w:r>
      <w:r>
        <w:rPr>
          <w:rFonts w:hint="default" w:ascii="Times New Roman" w:hAnsi="Times New Roman" w:eastAsia="楷体_GB2312" w:cs="Times New Roman"/>
          <w:b/>
          <w:kern w:val="2"/>
          <w:sz w:val="32"/>
          <w:szCs w:val="32"/>
          <w:lang w:val="en-US" w:eastAsia="zh-CN" w:bidi="ar"/>
        </w:rPr>
        <w:t>结余分配和结转结余情况。</w:t>
      </w:r>
      <w:r>
        <w:rPr>
          <w:rFonts w:hint="default" w:ascii="Times New Roman" w:hAnsi="Times New Roman" w:eastAsia="仿宋_GB2312" w:cs="Times New Roman"/>
          <w:kern w:val="2"/>
          <w:sz w:val="32"/>
          <w:szCs w:val="32"/>
          <w:lang w:val="en-US" w:eastAsia="zh-CN" w:bidi="ar"/>
        </w:rPr>
        <w:t>攀枝花市农业农村局部门2025年决算报表无结转结余情况。</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黑体" w:cs="Times New Roman"/>
          <w:color w:val="000000"/>
          <w:kern w:val="0"/>
          <w:sz w:val="32"/>
          <w:szCs w:val="32"/>
          <w:shd w:val="clear" w:fill="FFFFFF"/>
        </w:rPr>
      </w:pPr>
      <w:bookmarkStart w:id="109" w:name="_Toc274358898_WPSOffice_Level2"/>
      <w:r>
        <w:rPr>
          <w:rFonts w:hint="default" w:ascii="Times New Roman" w:hAnsi="Times New Roman" w:eastAsia="黑体" w:cs="Times New Roman"/>
          <w:color w:val="000000"/>
          <w:kern w:val="0"/>
          <w:sz w:val="32"/>
          <w:szCs w:val="32"/>
          <w:shd w:val="clear" w:fill="FFFFFF"/>
          <w:lang w:val="en-US" w:eastAsia="zh-CN" w:bidi="ar"/>
        </w:rPr>
        <w:t>三、部门预算绩效分析</w:t>
      </w:r>
      <w:bookmarkEnd w:id="109"/>
    </w:p>
    <w:p>
      <w:pPr>
        <w:keepNext w:val="0"/>
        <w:keepLines w:val="0"/>
        <w:widowControl w:val="0"/>
        <w:suppressLineNumbers w:val="0"/>
        <w:adjustRightInd w:val="0"/>
        <w:snapToGrid w:val="0"/>
        <w:spacing w:before="0" w:beforeAutospacing="0" w:after="0" w:afterAutospacing="0" w:line="578" w:lineRule="exact"/>
        <w:ind w:left="0" w:right="0" w:firstLine="642"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楷体_GB2312" w:cs="Times New Roman"/>
          <w:b/>
          <w:color w:val="000000"/>
          <w:kern w:val="0"/>
          <w:sz w:val="32"/>
          <w:szCs w:val="32"/>
          <w:shd w:val="clear" w:fill="FFFFFF"/>
          <w:lang w:val="en-US" w:eastAsia="zh-CN" w:bidi="ar"/>
        </w:rPr>
        <w:t>（一）部门预算总体绩效分析。</w:t>
      </w:r>
    </w:p>
    <w:p>
      <w:pPr>
        <w:keepNext w:val="0"/>
        <w:keepLines w:val="0"/>
        <w:widowControl w:val="0"/>
        <w:suppressLineNumbers w:val="0"/>
        <w:autoSpaceDE w:val="0"/>
        <w:autoSpaceDN/>
        <w:spacing w:before="0" w:beforeAutospacing="0" w:after="0" w:afterAutospacing="0"/>
        <w:ind w:left="0" w:right="0" w:firstLine="640" w:firstLineChars="200"/>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1.履职效能。</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项目包装“精准破题”，56个项目获得上级资金支持4.95亿元，较去年（3.45亿元）同比增长43.5%，创历史新高。产业振兴“聚势赋能”，前三季度，第一产业增加值70.12亿元，同比增长4.2%，增速居全省第三，预计全年增长4.5%，保持全省前列。农民增收“拓渠活源”，全市农村居民人均可支配收入18625元，同比增长4.9%，预计全年增速7%，总量保持全省第二。</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本项绩效自评得分15分</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2.预算管理。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坚持预算编制的科学性与精细化，依据部门职能和年度重点工作，细化项目支出测算，确保预算编制合理精准。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加强单位收入统筹管理，全面落实“收支两条线”规定，确保非税收入等各项收入依法征收、应收尽收。</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严格规范预算执行流程，强化支出进度管理。年度预算执行率达87.73%，重点项目建设等资金拨付及时到位，有效保障了各项业务的顺利开展。</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厉行节约，缩减非刚性、非重点支出。通过强化预算约束和过程监控，严控一般性支出及“三公”经费。</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本项绩效自评得分17.8分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3.财务管理。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持续健全财务制度体系，完善部门财务管理办法及专项资金使用细则。规范资金审批流程，强化内部控制和财务风险防范，为财政资金安全运行提供制度保障。</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科学设置财务岗位，明确职责分工，确保不相容岗位相互分离、形成制衡。定期组织开展财务检查和自查自纠，对发现问题及时整改，通过岗位间的协同监督提升财务管理水平，保障财务工作规范有序开展。</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严守财经法规，资金使用无挤占、挪用、虚列支出等违规行为，确保每一笔支出均符合部门规定和预算要求。同时，规范会计核算，严格执行政府会计制度，做到账务处理及时准确、财务报表完整清晰，财务信息真实可靠。</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本项绩效自评得分12分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4.资产管理。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依托资产信息化管理系统，精准核算资产总量与人员变动情况。通过分析资产变动趋势，提高了资产配置与人员需求的匹配度，人均资产变化率保持在合理区间。</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科学配置闲置资产，本部门着力强化资产使用环节的全过程监管，</w:t>
      </w:r>
      <w:r>
        <w:rPr>
          <w:rFonts w:hint="default" w:ascii="Times New Roman" w:hAnsi="Times New Roman" w:eastAsia="仿宋_GB2312" w:cs="Times New Roman"/>
          <w:color w:val="000000"/>
          <w:kern w:val="0"/>
          <w:sz w:val="32"/>
          <w:szCs w:val="32"/>
          <w:lang w:val="en-US" w:eastAsia="zh-CN" w:bidi="ar"/>
        </w:rPr>
        <w:t>组织开展行政事业单位国有资产清查，全面摸清了资产家底，建立了资产台账，实现了资产动态管理。</w:t>
      </w:r>
      <w:r>
        <w:rPr>
          <w:rFonts w:hint="default" w:ascii="Times New Roman" w:hAnsi="Times New Roman" w:eastAsia="仿宋_GB2312" w:cs="Times New Roman"/>
          <w:color w:val="000000"/>
          <w:kern w:val="0"/>
          <w:sz w:val="32"/>
          <w:szCs w:val="32"/>
          <w:shd w:val="clear" w:fill="FFFFFF"/>
          <w:lang w:val="en-US" w:eastAsia="zh-CN" w:bidi="ar"/>
        </w:rPr>
        <w:t>通过全面摸清低效运转与闲置资产底数，夯实资产盘活工作基础，推进资产共享共用平台建设。</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kern w:val="2"/>
          <w:sz w:val="32"/>
          <w:szCs w:val="32"/>
          <w:lang w:val="en-US" w:eastAsia="zh-CN" w:bidi="ar"/>
        </w:rPr>
        <w:t>本项绩效自评得分6.6分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5.采购管理。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 xml:space="preserve">强化采购预算刚性约束，所有采购项目严格纳入预算管理并履行审批程序，无规避招标行为。通过优化采购计划和流程，加快项目执行进度，避免了资金沉淀。  </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 xml:space="preserve">采购流程规范采用公开招标、竞争性谈判等方式，确保采购公开、公平、公正。重大采购项目实行集体决策，全程留痕，防范廉政风险。采购项目完成率较高，供应商履约情况良好，物资和服务质量符合要求。 </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 xml:space="preserve">本项绩效自评得分6分。  </w:t>
      </w:r>
    </w:p>
    <w:p>
      <w:pPr>
        <w:keepNext w:val="0"/>
        <w:keepLines w:val="0"/>
        <w:widowControl/>
        <w:suppressLineNumbers w:val="0"/>
        <w:adjustRightInd w:val="0"/>
        <w:snapToGrid w:val="0"/>
        <w:spacing w:before="0" w:beforeAutospacing="0" w:after="0" w:afterAutospacing="0" w:line="578" w:lineRule="exact"/>
        <w:ind w:left="0" w:right="0" w:firstLine="642"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楷体_GB2312" w:cs="Times New Roman"/>
          <w:b/>
          <w:color w:val="000000"/>
          <w:kern w:val="0"/>
          <w:sz w:val="32"/>
          <w:szCs w:val="32"/>
          <w:shd w:val="clear" w:fill="FFFFFF"/>
          <w:lang w:val="en-US" w:eastAsia="zh-CN" w:bidi="ar"/>
        </w:rPr>
        <w:t>（二）部门预算项目绩效分析。</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常年项目绩效分析。该类项目总数 29个，涉及预算总金额   1251.86万元，1—12月预算执行总体进度为46.9 %，其中：预算结余率大于10%的项目共计11个。</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阶段（含一次性）项目绩效分析。该类项目总数7个，涉及预算总金额 764.5万元，1—12月预算执行总体进度为 34.2%，其中：预算结余率大于10%的项目共计5个。</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1.项目决策。</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本部门项目立项依据充分，符合乡村振兴、产业发展等宏观政策导向，与部门核心职能及年度重点工作高度契合。前期经深入调研与科学论证，项目具备现实必要性与迫切性。资金规模依据项目任务量、市场价格及历史成本数据综合测算，编制内容详实、测算标准清晰。</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绩效目标设定明确、具体且可衡量。针对产出、效益、满意度、成本四类指标，结合项目特性分类设置，形成科学完整的目标体系。项目决策程序规范严谨，严格履行“三重一大”决策机制，经党组会集体研究审议通过。同时，按规定开展事前绩效评估，全面论证项目立项必要性、项目实施可行性等内容，确保项目入库科学可行、风险可控。</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仿宋_GB2312" w:cs="Times New Roman"/>
          <w:kern w:val="2"/>
          <w:sz w:val="32"/>
          <w:szCs w:val="32"/>
          <w:lang w:val="en-US" w:eastAsia="zh-CN" w:bidi="ar"/>
        </w:rPr>
        <w:t>本项绩效自评得分12分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2.项目执行。</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截至2025年底，项目资金支出进度完成预期，支出内容严格控制在批复预算范围内，资金拨付与使用合法合规。经核查，未发现挤占、挪用、超范围支出等违规问题，支出票据齐全、审批流程规范，资金使用全程可追溯、可核查。</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项目实施管理规范有序，建立健全绩效监控机制，定期开展绩效跟踪评估，动态掌握项目推进情况，及时纠偏调整，确保项目按计划进度实施，未出现严重滞后现象。强化质量监管措施，引入第三方机构开展项目验收、专家评审等，确保项目实施质量达标、成果可靠。严格落实部门项目管理办法，细化执行招投标、合同管理、验收交付等关键环节管控要求，定期调度资金使用与项目实施情况，做到问题早发现、早解决。</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本项绩效自评得分12分</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楷体_GB2312" w:cs="Times New Roman"/>
          <w:color w:val="000000"/>
          <w:kern w:val="0"/>
          <w:sz w:val="32"/>
          <w:szCs w:val="32"/>
          <w:shd w:val="clear" w:fill="FFFFFF"/>
        </w:rPr>
      </w:pPr>
      <w:r>
        <w:rPr>
          <w:rFonts w:hint="default" w:ascii="Times New Roman" w:hAnsi="Times New Roman" w:eastAsia="楷体_GB2312" w:cs="Times New Roman"/>
          <w:color w:val="000000"/>
          <w:kern w:val="0"/>
          <w:sz w:val="32"/>
          <w:szCs w:val="32"/>
          <w:shd w:val="clear" w:fill="FFFFFF"/>
          <w:lang w:val="en-US" w:eastAsia="zh-CN" w:bidi="ar"/>
        </w:rPr>
        <w:t>3.目标实现。</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本部门项目目标体系设置科学完整，覆盖产出、效益、满意度、成本四类指标，全面反映项目全周期绩效要求。绩效目标值基于历史数据、行业标准和项目实际测算确定，具备可行性，无虚高或低估现象，所有指标均实现量化或可分级评价。从实际执行结果看，项目整体目标完成情况良好，偏离度低，基本实现预期效果。项目在成本控制方面执行有力，未超预算且支出结构合理，实现了预算与绩效的有机统一，充分体现了项目实施的实效性与财政资金使用的有效性。</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本项绩效自评得分11分</w:t>
      </w:r>
    </w:p>
    <w:p>
      <w:pPr>
        <w:keepNext w:val="0"/>
        <w:keepLines w:val="0"/>
        <w:widowControl w:val="0"/>
        <w:suppressLineNumbers w:val="0"/>
        <w:snapToGrid w:val="0"/>
        <w:spacing w:before="0" w:beforeAutospacing="0" w:after="0" w:afterAutospacing="0" w:line="600" w:lineRule="exact"/>
        <w:ind w:left="0" w:right="0" w:firstLine="642" w:firstLineChars="200"/>
        <w:jc w:val="both"/>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color w:val="000000"/>
          <w:kern w:val="0"/>
          <w:sz w:val="32"/>
          <w:szCs w:val="32"/>
          <w:shd w:val="clear" w:fill="FFFFFF"/>
          <w:lang w:val="en-US" w:eastAsia="zh-CN" w:bidi="ar"/>
        </w:rPr>
        <w:t>（三）</w:t>
      </w:r>
      <w:r>
        <w:rPr>
          <w:rFonts w:hint="default" w:ascii="Times New Roman" w:hAnsi="Times New Roman" w:eastAsia="楷体_GB2312" w:cs="Times New Roman"/>
          <w:b/>
          <w:kern w:val="2"/>
          <w:sz w:val="32"/>
          <w:szCs w:val="32"/>
          <w:lang w:val="en-US" w:eastAsia="zh-CN" w:bidi="ar"/>
        </w:rPr>
        <w:t>绩效结果应用情况。</w:t>
      </w:r>
    </w:p>
    <w:p>
      <w:pPr>
        <w:keepNext w:val="0"/>
        <w:keepLines w:val="0"/>
        <w:widowControl w:val="0"/>
        <w:suppressLineNumbers w:val="0"/>
        <w:snapToGrid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本部门将2025年项目绩效评价结果作为2026年预算安排的重要依据，将“花钱必问效”贯穿于预算管理全过程。同时，深入挖掘评价数据价值，将绩效评价报告反映的经验做法提炼固化为管理制度，依据2025年项目实施中暴露出的管理短板，全面修订完善项目管理办法，并依托预算管理一体化系统建立绩效运行预警机制，对资金支出进度滞后、偏离绩效目标等情况实行自动监控与及时提醒。</w:t>
      </w:r>
    </w:p>
    <w:p>
      <w:pPr>
        <w:keepNext w:val="0"/>
        <w:keepLines w:val="0"/>
        <w:widowControl w:val="0"/>
        <w:suppressLineNumbers w:val="0"/>
        <w:snapToGrid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仿宋_GB2312" w:cs="Times New Roman"/>
          <w:color w:val="000000"/>
          <w:kern w:val="0"/>
          <w:sz w:val="32"/>
          <w:szCs w:val="32"/>
          <w:shd w:val="clear" w:fill="FFFFFF"/>
          <w:lang w:val="en-US" w:eastAsia="zh-CN" w:bidi="ar"/>
        </w:rPr>
        <w:t>在信息公开方面，严格履行绩效信息公开主体责任，，按照“及时、完整、规范”的要求，在政府门户网站及预决算公开平台，全面公开项目绩效目标、绩效自评报告、绩效评价结果等重点信息，主动接受监督，切实增强财政资金透明度。</w:t>
      </w:r>
    </w:p>
    <w:p>
      <w:pPr>
        <w:keepNext w:val="0"/>
        <w:keepLines w:val="0"/>
        <w:widowControl w:val="0"/>
        <w:suppressLineNumbers w:val="0"/>
        <w:snapToGrid w:val="0"/>
        <w:spacing w:before="0" w:beforeAutospacing="0" w:after="0" w:afterAutospacing="0" w:line="600" w:lineRule="exact"/>
        <w:ind w:left="0" w:right="0" w:firstLine="640" w:firstLineChars="200"/>
        <w:jc w:val="both"/>
        <w:rPr>
          <w:rFonts w:hint="default" w:ascii="Times New Roman" w:hAnsi="Times New Roman" w:eastAsia="仿宋_GB2312" w:cs="Times New Roman"/>
          <w:b/>
          <w:kern w:val="2"/>
          <w:sz w:val="32"/>
          <w:szCs w:val="32"/>
        </w:rPr>
      </w:pPr>
      <w:r>
        <w:rPr>
          <w:rFonts w:hint="default" w:ascii="Times New Roman" w:hAnsi="Times New Roman" w:eastAsia="仿宋_GB2312" w:cs="Times New Roman"/>
          <w:color w:val="000000"/>
          <w:kern w:val="0"/>
          <w:sz w:val="32"/>
          <w:szCs w:val="32"/>
          <w:shd w:val="clear" w:fill="FFFFFF"/>
          <w:lang w:val="en-US" w:eastAsia="zh-CN" w:bidi="ar"/>
        </w:rPr>
        <w:t>在整改反馈方面对绩效评价中发现的问题深入剖析原因，通过简化审批环节、优化报账流程、加强支出进度通报等措施；针对部分绩效目标设置不科学、指标值不合理等问题，对绩效指标的完整性、合理性和可衡量性进行深入分析。对整改落实情况实行台账管理，切实做到以评促改、以改提效。</w:t>
      </w:r>
    </w:p>
    <w:p>
      <w:pPr>
        <w:keepNext w:val="0"/>
        <w:keepLines w:val="0"/>
        <w:widowControl/>
        <w:suppressLineNumbers w:val="0"/>
        <w:adjustRightInd w:val="0"/>
        <w:snapToGrid w:val="0"/>
        <w:spacing w:before="0" w:beforeAutospacing="0" w:after="0" w:afterAutospacing="0" w:line="578" w:lineRule="exact"/>
        <w:ind w:left="0" w:right="0" w:firstLine="640" w:firstLineChars="200"/>
        <w:contextualSpacing/>
        <w:jc w:val="both"/>
        <w:rPr>
          <w:rFonts w:hint="default" w:ascii="Times New Roman" w:hAnsi="Times New Roman" w:eastAsia="黑体" w:cs="Times New Roman"/>
          <w:color w:val="000000"/>
          <w:kern w:val="0"/>
          <w:sz w:val="32"/>
          <w:szCs w:val="32"/>
          <w:shd w:val="clear" w:fill="FFFFFF"/>
        </w:rPr>
      </w:pPr>
      <w:bookmarkStart w:id="110" w:name="_Toc1947744088_WPSOffice_Level2"/>
      <w:r>
        <w:rPr>
          <w:rFonts w:hint="default" w:ascii="Times New Roman" w:hAnsi="Times New Roman" w:eastAsia="黑体" w:cs="Times New Roman"/>
          <w:color w:val="000000"/>
          <w:kern w:val="0"/>
          <w:sz w:val="32"/>
          <w:szCs w:val="32"/>
          <w:shd w:val="clear" w:fill="FFFFFF"/>
          <w:lang w:val="en-US" w:eastAsia="zh-CN" w:bidi="ar"/>
        </w:rPr>
        <w:t>四、评价结论及建议</w:t>
      </w:r>
      <w:bookmarkEnd w:id="110"/>
    </w:p>
    <w:p>
      <w:pPr>
        <w:keepNext w:val="0"/>
        <w:keepLines w:val="0"/>
        <w:widowControl/>
        <w:suppressLineNumbers w:val="0"/>
        <w:adjustRightInd w:val="0"/>
        <w:snapToGrid w:val="0"/>
        <w:spacing w:before="0" w:beforeAutospacing="0" w:after="0" w:afterAutospacing="0" w:line="578" w:lineRule="exact"/>
        <w:ind w:left="0" w:right="0" w:firstLine="642" w:firstLineChars="200"/>
        <w:contextualSpacing/>
        <w:jc w:val="both"/>
        <w:rPr>
          <w:rFonts w:hint="default" w:ascii="Times New Roman" w:hAnsi="Times New Roman" w:eastAsia="仿宋_GB2312" w:cs="Times New Roman"/>
          <w:kern w:val="0"/>
          <w:sz w:val="32"/>
          <w:szCs w:val="32"/>
          <w:lang w:val="en-US" w:eastAsia="zh-CN" w:bidi="ar"/>
        </w:rPr>
      </w:pPr>
      <w:r>
        <w:rPr>
          <w:rFonts w:hint="default" w:ascii="Times New Roman" w:hAnsi="Times New Roman" w:eastAsia="楷体_GB2312" w:cs="Times New Roman"/>
          <w:b/>
          <w:color w:val="000000"/>
          <w:kern w:val="0"/>
          <w:sz w:val="32"/>
          <w:szCs w:val="32"/>
          <w:shd w:val="clear" w:fill="FFFFFF"/>
          <w:lang w:val="en-US" w:eastAsia="zh-CN" w:bidi="ar"/>
        </w:rPr>
        <w:t>（一）评价结论。</w:t>
      </w:r>
      <w:r>
        <w:rPr>
          <w:rFonts w:hint="default" w:ascii="Times New Roman" w:hAnsi="Times New Roman" w:eastAsia="仿宋_GB2312" w:cs="Times New Roman"/>
          <w:kern w:val="0"/>
          <w:sz w:val="32"/>
          <w:szCs w:val="32"/>
          <w:lang w:val="en-US" w:eastAsia="zh-CN" w:bidi="ar"/>
        </w:rPr>
        <w:t xml:space="preserve"> 本部门预算绩效自评得分92.40分。项目决策程序规范，绩效目标基本完成，预算执行进度达87.73%，资金使用合规，资产利用率有效提升。但在预算均衡性、指标精细化和跨部门协同方面仍有提升空间。</w:t>
      </w:r>
    </w:p>
    <w:p>
      <w:pPr>
        <w:keepNext w:val="0"/>
        <w:keepLines w:val="0"/>
        <w:widowControl/>
        <w:suppressLineNumbers w:val="0"/>
        <w:adjustRightInd w:val="0"/>
        <w:snapToGrid w:val="0"/>
        <w:spacing w:before="0" w:beforeAutospacing="0" w:after="0" w:afterAutospacing="0" w:line="578" w:lineRule="exact"/>
        <w:ind w:left="0" w:right="0" w:firstLine="642" w:firstLineChars="200"/>
        <w:contextualSpacing/>
        <w:jc w:val="both"/>
        <w:rPr>
          <w:rFonts w:hint="default" w:ascii="Times New Roman" w:hAnsi="Times New Roman" w:eastAsia="仿宋_GB2312" w:cs="Times New Roman"/>
          <w:kern w:val="0"/>
          <w:sz w:val="32"/>
          <w:szCs w:val="32"/>
        </w:rPr>
      </w:pPr>
      <w:r>
        <w:rPr>
          <w:rFonts w:hint="default" w:ascii="Times New Roman" w:hAnsi="Times New Roman" w:eastAsia="楷体_GB2312" w:cs="Times New Roman"/>
          <w:b/>
          <w:color w:val="000000"/>
          <w:kern w:val="0"/>
          <w:sz w:val="32"/>
          <w:szCs w:val="32"/>
          <w:shd w:val="clear" w:fill="FFFFFF"/>
          <w:lang w:val="en-US" w:eastAsia="zh-CN" w:bidi="ar"/>
        </w:rPr>
        <w:t>（二）存在问题。</w:t>
      </w:r>
      <w:r>
        <w:rPr>
          <w:rFonts w:hint="default" w:ascii="Times New Roman" w:hAnsi="Times New Roman" w:eastAsia="仿宋_GB2312" w:cs="Times New Roman"/>
          <w:kern w:val="0"/>
          <w:sz w:val="32"/>
          <w:szCs w:val="32"/>
          <w:lang w:val="en-US" w:eastAsia="zh-CN" w:bidi="ar"/>
        </w:rPr>
        <w:t xml:space="preserve"> 一是预算执行进度不均衡，部分项目资金使用效率偏低；二是绩效目标设定不够细化，少数指标量化不足、难以考核；三是部门间协调不足，资源配置存在重复或闲置现象，共享共用机制尚未完全落地。</w:t>
      </w:r>
    </w:p>
    <w:p>
      <w:pPr>
        <w:keepNext w:val="0"/>
        <w:keepLines w:val="0"/>
        <w:widowControl w:val="0"/>
        <w:suppressLineNumbers w:val="0"/>
        <w:spacing w:before="0" w:beforeAutospacing="0" w:after="0" w:afterAutospacing="0"/>
        <w:ind w:left="0" w:right="0" w:firstLine="642" w:firstLineChars="200"/>
        <w:jc w:val="both"/>
        <w:rPr>
          <w:rFonts w:hint="default" w:ascii="Times New Roman" w:hAnsi="Times New Roman" w:cs="Times New Roman"/>
        </w:rPr>
      </w:pPr>
      <w:r>
        <w:rPr>
          <w:rFonts w:hint="default" w:ascii="Times New Roman" w:hAnsi="Times New Roman" w:eastAsia="楷体_GB2312" w:cs="Times New Roman"/>
          <w:b/>
          <w:color w:val="000000"/>
          <w:kern w:val="0"/>
          <w:sz w:val="32"/>
          <w:szCs w:val="32"/>
          <w:shd w:val="clear" w:fill="FFFFFF"/>
          <w:lang w:val="en-US" w:eastAsia="zh-CN" w:bidi="ar"/>
        </w:rPr>
        <w:t>（三）改进建议。</w:t>
      </w:r>
      <w:r>
        <w:rPr>
          <w:rFonts w:hint="default" w:ascii="Times New Roman" w:hAnsi="Times New Roman" w:eastAsia="仿宋_GB2312" w:cs="Times New Roman"/>
          <w:kern w:val="0"/>
          <w:sz w:val="32"/>
          <w:szCs w:val="32"/>
          <w:lang w:val="en-US" w:eastAsia="zh-CN" w:bidi="ar"/>
        </w:rPr>
        <w:t>一是优化预算执行机制，优先保障重点项目，动态调整低效支出；二是健全绩效指标体系，引入专家论证，确保指标可衡量、可监控；三是强化跨部门协作，推进资产共享平台建设，建立闲置资产调剂与处置全链条机制，提升财政资源配置效率。</w:t>
      </w:r>
    </w:p>
    <w:p>
      <w:pPr>
        <w:pStyle w:val="7"/>
        <w:spacing w:line="560" w:lineRule="exact"/>
        <w:ind w:left="0" w:leftChars="0" w:firstLine="640"/>
        <w:rPr>
          <w:rFonts w:hint="default" w:ascii="Times New Roman" w:hAnsi="Times New Roman" w:eastAsia="仿宋_GB2312" w:cs="Times New Roman"/>
          <w:sz w:val="32"/>
          <w:lang w:val="zh-CN" w:bidi="ar"/>
        </w:rPr>
      </w:pPr>
    </w:p>
    <w:p>
      <w:pPr>
        <w:pStyle w:val="7"/>
        <w:spacing w:line="560" w:lineRule="exact"/>
        <w:ind w:left="0" w:leftChars="0" w:firstLine="640"/>
        <w:rPr>
          <w:rFonts w:hint="default" w:ascii="Times New Roman" w:hAnsi="Times New Roman" w:eastAsia="仿宋_GB2312" w:cs="Times New Roman"/>
          <w:sz w:val="32"/>
          <w:lang w:val="zh-CN" w:bidi="ar"/>
        </w:rPr>
      </w:pPr>
    </w:p>
    <w:p>
      <w:pPr>
        <w:pStyle w:val="7"/>
        <w:spacing w:line="560" w:lineRule="exact"/>
        <w:ind w:left="0" w:leftChars="0" w:firstLine="0" w:firstLineChars="0"/>
        <w:rPr>
          <w:rFonts w:hint="default" w:ascii="Times New Roman" w:hAnsi="Times New Roman" w:cs="Times New Roman"/>
          <w:sz w:val="32"/>
          <w:highlight w:val="yellow"/>
          <w:lang w:val="zh-CN"/>
        </w:rPr>
      </w:pPr>
    </w:p>
    <w:p>
      <w:pPr>
        <w:rPr>
          <w:rFonts w:hint="default" w:ascii="Times New Roman" w:hAnsi="Times New Roman" w:eastAsia="仿宋_GB2312" w:cs="Times New Roman"/>
          <w:kern w:val="0"/>
          <w:sz w:val="32"/>
          <w:szCs w:val="32"/>
        </w:rPr>
      </w:pPr>
      <w:bookmarkStart w:id="111" w:name="_Toc15396618"/>
      <w:r>
        <w:rPr>
          <w:rFonts w:hint="default" w:ascii="Times New Roman" w:hAnsi="Times New Roman" w:eastAsia="仿宋_GB2312" w:cs="Times New Roman"/>
          <w:kern w:val="0"/>
          <w:sz w:val="32"/>
          <w:szCs w:val="32"/>
        </w:rPr>
        <w:br w:type="page"/>
      </w:r>
    </w:p>
    <w:p>
      <w:pPr>
        <w:widowControl/>
        <w:jc w:val="center"/>
        <w:rPr>
          <w:rFonts w:hint="default" w:ascii="Times New Roman" w:hAnsi="Times New Roman" w:eastAsia="仿宋" w:cs="Times New Roman"/>
        </w:rPr>
      </w:pPr>
      <w:bookmarkStart w:id="112" w:name="_Toc265032034_WPSOffice_Level1"/>
      <w:r>
        <w:rPr>
          <w:rFonts w:hint="default" w:ascii="Times New Roman" w:hAnsi="Times New Roman" w:eastAsia="黑体" w:cs="Times New Roman"/>
          <w:sz w:val="44"/>
          <w:szCs w:val="44"/>
        </w:rPr>
        <w:t>第</w:t>
      </w:r>
      <w:r>
        <w:rPr>
          <w:rStyle w:val="29"/>
          <w:rFonts w:hint="default" w:ascii="Times New Roman" w:hAnsi="Times New Roman" w:eastAsia="黑体" w:cs="Times New Roman"/>
          <w:b w:val="0"/>
        </w:rPr>
        <w:t>五部分 附表</w:t>
      </w:r>
      <w:bookmarkEnd w:id="102"/>
      <w:bookmarkEnd w:id="111"/>
      <w:bookmarkEnd w:id="112"/>
      <w:bookmarkStart w:id="113" w:name="_Toc15396619"/>
    </w:p>
    <w:p>
      <w:pPr>
        <w:pStyle w:val="14"/>
        <w:adjustRightInd w:val="0"/>
        <w:snapToGrid w:val="0"/>
        <w:spacing w:line="560" w:lineRule="exact"/>
        <w:ind w:left="0" w:leftChars="0" w:firstLine="0" w:firstLineChars="0"/>
        <w:jc w:val="left"/>
        <w:rPr>
          <w:rFonts w:hint="default" w:ascii="Times New Roman" w:hAnsi="Times New Roman" w:eastAsia="仿宋_GB2312" w:cs="Times New Roman"/>
          <w:sz w:val="32"/>
          <w:szCs w:val="32"/>
        </w:rPr>
      </w:pPr>
    </w:p>
    <w:p>
      <w:pPr>
        <w:pStyle w:val="14"/>
        <w:adjustRightInd w:val="0"/>
        <w:snapToGrid w:val="0"/>
        <w:spacing w:line="560" w:lineRule="exact"/>
        <w:jc w:val="left"/>
        <w:rPr>
          <w:rFonts w:hint="default" w:ascii="Times New Roman" w:hAnsi="Times New Roman" w:eastAsia="仿宋_GB2312" w:cs="Times New Roman"/>
          <w:sz w:val="32"/>
          <w:szCs w:val="32"/>
        </w:rPr>
      </w:pPr>
      <w:bookmarkStart w:id="114" w:name="_Toc1515356246_WPSOffice_Level2"/>
      <w:r>
        <w:rPr>
          <w:rFonts w:hint="default" w:ascii="Times New Roman" w:hAnsi="Times New Roman" w:eastAsia="仿宋_GB2312" w:cs="Times New Roman"/>
          <w:sz w:val="32"/>
          <w:szCs w:val="32"/>
        </w:rPr>
        <w:t>一、收入支出决算总表</w:t>
      </w:r>
      <w:bookmarkEnd w:id="113"/>
      <w:bookmarkEnd w:id="114"/>
    </w:p>
    <w:p>
      <w:pPr>
        <w:pStyle w:val="14"/>
        <w:adjustRightInd w:val="0"/>
        <w:snapToGrid w:val="0"/>
        <w:spacing w:line="560" w:lineRule="exact"/>
        <w:jc w:val="left"/>
        <w:rPr>
          <w:rFonts w:hint="default" w:ascii="Times New Roman" w:hAnsi="Times New Roman" w:eastAsia="仿宋_GB2312" w:cs="Times New Roman"/>
          <w:sz w:val="32"/>
          <w:szCs w:val="32"/>
        </w:rPr>
      </w:pPr>
      <w:bookmarkStart w:id="115" w:name="_Toc15396620"/>
      <w:bookmarkStart w:id="116" w:name="_Toc1888795081_WPSOffice_Level2"/>
      <w:r>
        <w:rPr>
          <w:rFonts w:hint="default" w:ascii="Times New Roman" w:hAnsi="Times New Roman" w:eastAsia="仿宋_GB2312" w:cs="Times New Roman"/>
          <w:sz w:val="32"/>
          <w:szCs w:val="32"/>
        </w:rPr>
        <w:t>二、收入决算表</w:t>
      </w:r>
      <w:bookmarkEnd w:id="115"/>
      <w:bookmarkEnd w:id="116"/>
    </w:p>
    <w:p>
      <w:pPr>
        <w:pStyle w:val="14"/>
        <w:adjustRightInd w:val="0"/>
        <w:snapToGrid w:val="0"/>
        <w:spacing w:line="560" w:lineRule="exact"/>
        <w:jc w:val="left"/>
        <w:rPr>
          <w:rFonts w:hint="default" w:ascii="Times New Roman" w:hAnsi="Times New Roman" w:eastAsia="仿宋_GB2312" w:cs="Times New Roman"/>
          <w:sz w:val="32"/>
          <w:szCs w:val="32"/>
        </w:rPr>
      </w:pPr>
      <w:bookmarkStart w:id="117" w:name="_Toc15396621"/>
      <w:bookmarkStart w:id="118" w:name="_Toc38024232_WPSOffice_Level2"/>
      <w:r>
        <w:rPr>
          <w:rFonts w:hint="default" w:ascii="Times New Roman" w:hAnsi="Times New Roman" w:eastAsia="仿宋_GB2312" w:cs="Times New Roman"/>
          <w:sz w:val="32"/>
          <w:szCs w:val="32"/>
        </w:rPr>
        <w:t>三、支出决算表</w:t>
      </w:r>
      <w:bookmarkEnd w:id="117"/>
      <w:bookmarkEnd w:id="118"/>
    </w:p>
    <w:p>
      <w:pPr>
        <w:pStyle w:val="14"/>
        <w:adjustRightInd w:val="0"/>
        <w:snapToGrid w:val="0"/>
        <w:spacing w:line="560" w:lineRule="exact"/>
        <w:jc w:val="left"/>
        <w:rPr>
          <w:rFonts w:hint="default" w:ascii="Times New Roman" w:hAnsi="Times New Roman" w:eastAsia="仿宋_GB2312" w:cs="Times New Roman"/>
          <w:sz w:val="32"/>
          <w:szCs w:val="32"/>
        </w:rPr>
      </w:pPr>
      <w:bookmarkStart w:id="119" w:name="_Toc964335279_WPSOffice_Level2"/>
      <w:bookmarkStart w:id="120" w:name="_Toc15396622"/>
      <w:r>
        <w:rPr>
          <w:rFonts w:hint="default" w:ascii="Times New Roman" w:hAnsi="Times New Roman" w:eastAsia="仿宋_GB2312" w:cs="Times New Roman"/>
          <w:sz w:val="32"/>
          <w:szCs w:val="32"/>
        </w:rPr>
        <w:t>四、财政拨款收入支出决算总表</w:t>
      </w:r>
      <w:bookmarkEnd w:id="119"/>
      <w:bookmarkEnd w:id="120"/>
    </w:p>
    <w:p>
      <w:pPr>
        <w:pStyle w:val="14"/>
        <w:adjustRightInd w:val="0"/>
        <w:snapToGrid w:val="0"/>
        <w:spacing w:line="560" w:lineRule="exact"/>
        <w:jc w:val="left"/>
        <w:rPr>
          <w:rFonts w:hint="default" w:ascii="Times New Roman" w:hAnsi="Times New Roman" w:eastAsia="仿宋_GB2312" w:cs="Times New Roman"/>
          <w:sz w:val="32"/>
          <w:szCs w:val="32"/>
        </w:rPr>
      </w:pPr>
      <w:bookmarkStart w:id="121" w:name="_Toc430830624_WPSOffice_Level2"/>
      <w:bookmarkStart w:id="122" w:name="_Toc15396623"/>
      <w:r>
        <w:rPr>
          <w:rFonts w:hint="default" w:ascii="Times New Roman" w:hAnsi="Times New Roman" w:eastAsia="仿宋_GB2312" w:cs="Times New Roman"/>
          <w:sz w:val="32"/>
          <w:szCs w:val="32"/>
        </w:rPr>
        <w:t>五、财政拨款支出决算明细表</w:t>
      </w:r>
      <w:bookmarkEnd w:id="121"/>
      <w:bookmarkEnd w:id="122"/>
      <w:bookmarkStart w:id="123" w:name="_Toc15396624"/>
    </w:p>
    <w:p>
      <w:pPr>
        <w:pStyle w:val="14"/>
        <w:adjustRightInd w:val="0"/>
        <w:snapToGrid w:val="0"/>
        <w:spacing w:line="560" w:lineRule="exact"/>
        <w:jc w:val="left"/>
        <w:rPr>
          <w:rFonts w:hint="default" w:ascii="Times New Roman" w:hAnsi="Times New Roman" w:eastAsia="仿宋_GB2312" w:cs="Times New Roman"/>
          <w:sz w:val="32"/>
          <w:szCs w:val="32"/>
        </w:rPr>
      </w:pPr>
      <w:bookmarkStart w:id="124" w:name="_Toc2068622377_WPSOffice_Level2"/>
      <w:r>
        <w:rPr>
          <w:rFonts w:hint="default" w:ascii="Times New Roman" w:hAnsi="Times New Roman" w:eastAsia="仿宋_GB2312" w:cs="Times New Roman"/>
          <w:sz w:val="32"/>
          <w:szCs w:val="32"/>
        </w:rPr>
        <w:t>六、一般公共预算财政拨款支出决算表</w:t>
      </w:r>
      <w:bookmarkEnd w:id="123"/>
      <w:bookmarkEnd w:id="124"/>
    </w:p>
    <w:p>
      <w:pPr>
        <w:pStyle w:val="14"/>
        <w:adjustRightInd w:val="0"/>
        <w:snapToGrid w:val="0"/>
        <w:spacing w:line="560" w:lineRule="exact"/>
        <w:jc w:val="left"/>
        <w:rPr>
          <w:rFonts w:hint="default" w:ascii="Times New Roman" w:hAnsi="Times New Roman" w:eastAsia="仿宋_GB2312" w:cs="Times New Roman"/>
          <w:sz w:val="32"/>
          <w:szCs w:val="32"/>
        </w:rPr>
      </w:pPr>
      <w:bookmarkStart w:id="125" w:name="_Toc203271281_WPSOffice_Level2"/>
      <w:bookmarkStart w:id="126" w:name="_Toc15396625"/>
      <w:r>
        <w:rPr>
          <w:rFonts w:hint="default" w:ascii="Times New Roman" w:hAnsi="Times New Roman" w:eastAsia="仿宋_GB2312" w:cs="Times New Roman"/>
          <w:sz w:val="32"/>
          <w:szCs w:val="32"/>
        </w:rPr>
        <w:t>七、一般公共预算财政拨款支出决算明细表</w:t>
      </w:r>
      <w:bookmarkEnd w:id="125"/>
      <w:bookmarkEnd w:id="126"/>
    </w:p>
    <w:p>
      <w:pPr>
        <w:pStyle w:val="14"/>
        <w:adjustRightInd w:val="0"/>
        <w:snapToGrid w:val="0"/>
        <w:spacing w:line="560" w:lineRule="exact"/>
        <w:jc w:val="left"/>
        <w:rPr>
          <w:rFonts w:hint="default" w:ascii="Times New Roman" w:hAnsi="Times New Roman" w:eastAsia="仿宋_GB2312" w:cs="Times New Roman"/>
          <w:sz w:val="32"/>
          <w:szCs w:val="32"/>
        </w:rPr>
      </w:pPr>
      <w:bookmarkStart w:id="127" w:name="_Toc391088733_WPSOffice_Level2"/>
      <w:bookmarkStart w:id="128" w:name="_Toc15396626"/>
      <w:r>
        <w:rPr>
          <w:rFonts w:hint="default" w:ascii="Times New Roman" w:hAnsi="Times New Roman" w:eastAsia="仿宋_GB2312" w:cs="Times New Roman"/>
          <w:sz w:val="32"/>
          <w:szCs w:val="32"/>
        </w:rPr>
        <w:t>八、一般公共预算财政拨款基本支出决算表</w:t>
      </w:r>
      <w:bookmarkEnd w:id="127"/>
      <w:bookmarkEnd w:id="128"/>
    </w:p>
    <w:p>
      <w:pPr>
        <w:pStyle w:val="14"/>
        <w:adjustRightInd w:val="0"/>
        <w:snapToGrid w:val="0"/>
        <w:spacing w:line="560" w:lineRule="exact"/>
        <w:jc w:val="left"/>
        <w:rPr>
          <w:rFonts w:hint="default" w:ascii="Times New Roman" w:hAnsi="Times New Roman" w:eastAsia="仿宋_GB2312" w:cs="Times New Roman"/>
          <w:sz w:val="32"/>
          <w:szCs w:val="32"/>
        </w:rPr>
      </w:pPr>
      <w:bookmarkStart w:id="129" w:name="_Toc15396627"/>
      <w:bookmarkStart w:id="130" w:name="_Toc61433906_WPSOffice_Level2"/>
      <w:r>
        <w:rPr>
          <w:rFonts w:hint="default" w:ascii="Times New Roman" w:hAnsi="Times New Roman" w:eastAsia="仿宋_GB2312" w:cs="Times New Roman"/>
          <w:sz w:val="32"/>
          <w:szCs w:val="32"/>
        </w:rPr>
        <w:t>九、一般公共预算财政拨款项目支出决算表</w:t>
      </w:r>
      <w:bookmarkEnd w:id="129"/>
      <w:bookmarkEnd w:id="130"/>
    </w:p>
    <w:p>
      <w:pPr>
        <w:pStyle w:val="14"/>
        <w:adjustRightInd w:val="0"/>
        <w:snapToGrid w:val="0"/>
        <w:spacing w:line="560" w:lineRule="exact"/>
        <w:jc w:val="left"/>
        <w:rPr>
          <w:rFonts w:hint="default" w:ascii="Times New Roman" w:hAnsi="Times New Roman" w:eastAsia="仿宋_GB2312" w:cs="Times New Roman"/>
          <w:sz w:val="32"/>
          <w:szCs w:val="32"/>
        </w:rPr>
      </w:pPr>
      <w:bookmarkStart w:id="131" w:name="_Toc15396628"/>
      <w:bookmarkStart w:id="132" w:name="_Toc1825947746_WPSOffice_Level2"/>
      <w:r>
        <w:rPr>
          <w:rFonts w:hint="default" w:ascii="Times New Roman" w:hAnsi="Times New Roman" w:eastAsia="仿宋_GB2312" w:cs="Times New Roman"/>
          <w:sz w:val="32"/>
          <w:szCs w:val="32"/>
        </w:rPr>
        <w:t>十、</w:t>
      </w:r>
      <w:bookmarkEnd w:id="131"/>
      <w:r>
        <w:rPr>
          <w:rFonts w:hint="default" w:ascii="Times New Roman" w:hAnsi="Times New Roman" w:eastAsia="仿宋_GB2312" w:cs="Times New Roman"/>
          <w:sz w:val="32"/>
          <w:szCs w:val="32"/>
        </w:rPr>
        <w:t>政府性基金预算财政拨款收入支出决算表</w:t>
      </w:r>
      <w:bookmarkEnd w:id="132"/>
    </w:p>
    <w:p>
      <w:pPr>
        <w:pStyle w:val="14"/>
        <w:adjustRightInd w:val="0"/>
        <w:snapToGrid w:val="0"/>
        <w:spacing w:line="560" w:lineRule="exact"/>
        <w:jc w:val="left"/>
        <w:rPr>
          <w:rFonts w:hint="default" w:ascii="Times New Roman" w:hAnsi="Times New Roman" w:eastAsia="仿宋_GB2312" w:cs="Times New Roman"/>
          <w:sz w:val="32"/>
          <w:szCs w:val="32"/>
        </w:rPr>
      </w:pPr>
      <w:bookmarkStart w:id="133" w:name="_Toc15396629"/>
      <w:bookmarkStart w:id="134" w:name="_Toc787518850_WPSOffice_Level2"/>
      <w:r>
        <w:rPr>
          <w:rFonts w:hint="default" w:ascii="Times New Roman" w:hAnsi="Times New Roman" w:eastAsia="仿宋_GB2312" w:cs="Times New Roman"/>
          <w:sz w:val="32"/>
          <w:szCs w:val="32"/>
        </w:rPr>
        <w:t>十一、</w:t>
      </w:r>
      <w:bookmarkEnd w:id="133"/>
      <w:r>
        <w:rPr>
          <w:rFonts w:hint="default" w:ascii="Times New Roman" w:hAnsi="Times New Roman" w:eastAsia="仿宋_GB2312" w:cs="Times New Roman"/>
          <w:sz w:val="32"/>
          <w:szCs w:val="32"/>
        </w:rPr>
        <w:t>国有资本经营预算财政拨款收入支出决算表</w:t>
      </w:r>
      <w:bookmarkEnd w:id="134"/>
    </w:p>
    <w:p>
      <w:pPr>
        <w:pStyle w:val="14"/>
        <w:adjustRightInd w:val="0"/>
        <w:snapToGrid w:val="0"/>
        <w:spacing w:line="560" w:lineRule="exact"/>
        <w:jc w:val="left"/>
        <w:rPr>
          <w:rFonts w:hint="default" w:ascii="Times New Roman" w:hAnsi="Times New Roman" w:eastAsia="仿宋_GB2312" w:cs="Times New Roman"/>
          <w:sz w:val="32"/>
          <w:szCs w:val="32"/>
        </w:rPr>
      </w:pPr>
      <w:bookmarkStart w:id="135" w:name="_Toc15396630"/>
      <w:bookmarkStart w:id="136" w:name="_Toc225122394_WPSOffice_Level2"/>
      <w:r>
        <w:rPr>
          <w:rFonts w:hint="default" w:ascii="Times New Roman" w:hAnsi="Times New Roman" w:eastAsia="仿宋_GB2312" w:cs="Times New Roman"/>
          <w:sz w:val="32"/>
          <w:szCs w:val="32"/>
        </w:rPr>
        <w:t>十二、</w:t>
      </w:r>
      <w:bookmarkEnd w:id="135"/>
      <w:r>
        <w:rPr>
          <w:rFonts w:hint="default" w:ascii="Times New Roman" w:hAnsi="Times New Roman" w:eastAsia="仿宋_GB2312" w:cs="Times New Roman"/>
          <w:sz w:val="32"/>
          <w:szCs w:val="32"/>
        </w:rPr>
        <w:t>国有资本经营预算财政拨款支出决算表</w:t>
      </w:r>
      <w:bookmarkEnd w:id="136"/>
    </w:p>
    <w:p>
      <w:pPr>
        <w:pStyle w:val="14"/>
        <w:adjustRightInd w:val="0"/>
        <w:snapToGrid w:val="0"/>
        <w:spacing w:line="560" w:lineRule="exact"/>
        <w:jc w:val="left"/>
        <w:rPr>
          <w:rFonts w:hint="default" w:ascii="Times New Roman" w:hAnsi="Times New Roman" w:eastAsia="仿宋_GB2312" w:cs="Times New Roman"/>
          <w:sz w:val="32"/>
          <w:szCs w:val="32"/>
        </w:rPr>
      </w:pPr>
      <w:bookmarkStart w:id="137" w:name="_Toc15396631"/>
      <w:bookmarkStart w:id="138" w:name="_Toc720441621_WPSOffice_Level2"/>
      <w:r>
        <w:rPr>
          <w:rFonts w:hint="default" w:ascii="Times New Roman" w:hAnsi="Times New Roman" w:eastAsia="仿宋_GB2312" w:cs="Times New Roman"/>
          <w:sz w:val="32"/>
          <w:szCs w:val="32"/>
        </w:rPr>
        <w:t>十三、</w:t>
      </w:r>
      <w:bookmarkEnd w:id="137"/>
      <w:r>
        <w:rPr>
          <w:rFonts w:hint="default" w:ascii="Times New Roman" w:hAnsi="Times New Roman" w:eastAsia="仿宋_GB2312" w:cs="Times New Roman"/>
          <w:sz w:val="32"/>
          <w:szCs w:val="32"/>
        </w:rPr>
        <w:t>财政拨款“三公”经费支出决算表</w:t>
      </w:r>
      <w:bookmarkEnd w:id="138"/>
    </w:p>
    <w:p>
      <w:pPr>
        <w:rPr>
          <w:rFonts w:hint="default" w:ascii="Times New Roman" w:hAnsi="Times New Roman" w:cs="Times New Roman"/>
        </w:rPr>
      </w:pPr>
    </w:p>
    <w:sectPr>
      <w:footerReference r:id="rId9"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9</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9</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hint="eastAsia"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10"/>
                    </w:pPr>
                  </w:p>
                </w:txbxContent>
              </v:textbox>
            </v:shape>
          </w:pict>
        </mc:Fallback>
      </mc:AlternateConten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hint="eastAsia" w:eastAsia="宋体"/>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9</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0"/>
                      <w:jc w:val="cente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9</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wn/kHAIAACs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QcJ/5BwCAAArBAAADgAAAAAAAAABACAAAAA1AQAAZHJzL2Uyb0RvYy54bWxQSwUG&#10;AAAAAAYABgBZAQAAwwUAAAAA&#10;">
              <v:fill on="f" focussize="0,0"/>
              <v:stroke on="f" weight="0.5pt"/>
              <v:imagedata o:title=""/>
              <o:lock v:ext="edit" aspectratio="f"/>
              <v:textbox inset="0mm,0mm,0mm,0mm" style="mso-fit-shape-to-text:t;">
                <w:txbxContent>
                  <w:p>
                    <w:pPr>
                      <w:pStyle w:val="10"/>
                      <w:rPr>
                        <w:rFonts w:hint="eastAsia" w:ascii="宋体" w:hAnsi="宋体" w:eastAsia="宋体" w:cs="宋体"/>
                        <w:sz w:val="28"/>
                        <w:szCs w:val="28"/>
                      </w:rPr>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AF8708"/>
    <w:multiLevelType w:val="multilevel"/>
    <w:tmpl w:val="FFAF8708"/>
    <w:lvl w:ilvl="0" w:tentative="0">
      <w:start w:val="3"/>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CE6E92"/>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1C2240C"/>
    <w:rsid w:val="13D50BC4"/>
    <w:rsid w:val="14022904"/>
    <w:rsid w:val="152F2A07"/>
    <w:rsid w:val="165E0673"/>
    <w:rsid w:val="16BB723D"/>
    <w:rsid w:val="17326391"/>
    <w:rsid w:val="186504BB"/>
    <w:rsid w:val="1938089F"/>
    <w:rsid w:val="19A445FC"/>
    <w:rsid w:val="1B7D550C"/>
    <w:rsid w:val="1BE8440E"/>
    <w:rsid w:val="1D155CEE"/>
    <w:rsid w:val="1E740ACF"/>
    <w:rsid w:val="1FAF785A"/>
    <w:rsid w:val="1FF35744"/>
    <w:rsid w:val="1FF6BC77"/>
    <w:rsid w:val="21962A9E"/>
    <w:rsid w:val="21AE7C77"/>
    <w:rsid w:val="21ED1ABE"/>
    <w:rsid w:val="22BC3C41"/>
    <w:rsid w:val="23860B96"/>
    <w:rsid w:val="240371BF"/>
    <w:rsid w:val="24BC54EC"/>
    <w:rsid w:val="260F557C"/>
    <w:rsid w:val="26A2662A"/>
    <w:rsid w:val="275A7954"/>
    <w:rsid w:val="27F62846"/>
    <w:rsid w:val="281408E2"/>
    <w:rsid w:val="29FD04D3"/>
    <w:rsid w:val="2BFF7BC6"/>
    <w:rsid w:val="2C8A61B5"/>
    <w:rsid w:val="2D2E01CF"/>
    <w:rsid w:val="2DF04E50"/>
    <w:rsid w:val="2E4F9B35"/>
    <w:rsid w:val="2E9545B0"/>
    <w:rsid w:val="2F040D46"/>
    <w:rsid w:val="2FAE5751"/>
    <w:rsid w:val="2FB1A395"/>
    <w:rsid w:val="2FD9A7D8"/>
    <w:rsid w:val="2FEAFC3B"/>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E64ED1"/>
    <w:rsid w:val="3BF5BC2F"/>
    <w:rsid w:val="3CEBA265"/>
    <w:rsid w:val="3D98207C"/>
    <w:rsid w:val="3D9B0D99"/>
    <w:rsid w:val="3DDA2981"/>
    <w:rsid w:val="3DEE7CF3"/>
    <w:rsid w:val="3DF02244"/>
    <w:rsid w:val="3E78745D"/>
    <w:rsid w:val="3FF4CAE0"/>
    <w:rsid w:val="3FF7B227"/>
    <w:rsid w:val="40E54C45"/>
    <w:rsid w:val="43340C18"/>
    <w:rsid w:val="43A407DF"/>
    <w:rsid w:val="44515BEA"/>
    <w:rsid w:val="448059B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7FE9DC6"/>
    <w:rsid w:val="59E3AE92"/>
    <w:rsid w:val="5A93303B"/>
    <w:rsid w:val="5AF92295"/>
    <w:rsid w:val="5BDD79E6"/>
    <w:rsid w:val="5BF561CA"/>
    <w:rsid w:val="5BFB2505"/>
    <w:rsid w:val="5BFF5DFC"/>
    <w:rsid w:val="5CD71FC4"/>
    <w:rsid w:val="5D1F11B5"/>
    <w:rsid w:val="5DAE1B18"/>
    <w:rsid w:val="5DE7D9E5"/>
    <w:rsid w:val="5ECEC941"/>
    <w:rsid w:val="5F02536D"/>
    <w:rsid w:val="5F493CB7"/>
    <w:rsid w:val="5FBF9FF3"/>
    <w:rsid w:val="5FCD4E2C"/>
    <w:rsid w:val="5FD15F49"/>
    <w:rsid w:val="5FEF394A"/>
    <w:rsid w:val="5FF67715"/>
    <w:rsid w:val="601F78BB"/>
    <w:rsid w:val="62192697"/>
    <w:rsid w:val="62BF3928"/>
    <w:rsid w:val="647F5392"/>
    <w:rsid w:val="664B1D71"/>
    <w:rsid w:val="67AA3209"/>
    <w:rsid w:val="67FC2695"/>
    <w:rsid w:val="681C4F0D"/>
    <w:rsid w:val="69046D0F"/>
    <w:rsid w:val="698D0931"/>
    <w:rsid w:val="6A993CED"/>
    <w:rsid w:val="6B053271"/>
    <w:rsid w:val="6BCE6674"/>
    <w:rsid w:val="6C4A05C8"/>
    <w:rsid w:val="6C8742B8"/>
    <w:rsid w:val="6C8A170F"/>
    <w:rsid w:val="6CB54609"/>
    <w:rsid w:val="6CBF6EF4"/>
    <w:rsid w:val="6DBF5E93"/>
    <w:rsid w:val="6DCF760B"/>
    <w:rsid w:val="6DFD2F6F"/>
    <w:rsid w:val="6DFF077E"/>
    <w:rsid w:val="6E7E3605"/>
    <w:rsid w:val="6E7FDCC7"/>
    <w:rsid w:val="6ED6A62E"/>
    <w:rsid w:val="6EE00B15"/>
    <w:rsid w:val="6F544B20"/>
    <w:rsid w:val="6F6FB3EB"/>
    <w:rsid w:val="6F784160"/>
    <w:rsid w:val="6F8731EA"/>
    <w:rsid w:val="6FCE6052"/>
    <w:rsid w:val="6FD57C00"/>
    <w:rsid w:val="6FD5FE8B"/>
    <w:rsid w:val="6FEFFFD8"/>
    <w:rsid w:val="6FF5CC65"/>
    <w:rsid w:val="6FFB47EC"/>
    <w:rsid w:val="6FFF034A"/>
    <w:rsid w:val="6FFFC6E2"/>
    <w:rsid w:val="70496804"/>
    <w:rsid w:val="705A140E"/>
    <w:rsid w:val="712A28F1"/>
    <w:rsid w:val="715C0E4B"/>
    <w:rsid w:val="719E7EE8"/>
    <w:rsid w:val="72233669"/>
    <w:rsid w:val="72734D90"/>
    <w:rsid w:val="7332FE48"/>
    <w:rsid w:val="73AB61DA"/>
    <w:rsid w:val="73AD73D5"/>
    <w:rsid w:val="73B6EB34"/>
    <w:rsid w:val="73C60785"/>
    <w:rsid w:val="73FA497D"/>
    <w:rsid w:val="744731E5"/>
    <w:rsid w:val="74527205"/>
    <w:rsid w:val="74BBD01D"/>
    <w:rsid w:val="74ED5379"/>
    <w:rsid w:val="74FB94E3"/>
    <w:rsid w:val="74FC2395"/>
    <w:rsid w:val="75712F63"/>
    <w:rsid w:val="75DEEEC2"/>
    <w:rsid w:val="76E3355F"/>
    <w:rsid w:val="76FF5125"/>
    <w:rsid w:val="776F6FFA"/>
    <w:rsid w:val="778769C8"/>
    <w:rsid w:val="77DC22F5"/>
    <w:rsid w:val="77EB32C6"/>
    <w:rsid w:val="78AF6E73"/>
    <w:rsid w:val="79086DAD"/>
    <w:rsid w:val="79974F09"/>
    <w:rsid w:val="79D7FD79"/>
    <w:rsid w:val="79EE5BA4"/>
    <w:rsid w:val="7A894339"/>
    <w:rsid w:val="7AFF7572"/>
    <w:rsid w:val="7B6C7DFB"/>
    <w:rsid w:val="7BBFBED0"/>
    <w:rsid w:val="7BC00CF5"/>
    <w:rsid w:val="7BC3E394"/>
    <w:rsid w:val="7BD209F2"/>
    <w:rsid w:val="7C1F3737"/>
    <w:rsid w:val="7CBFC87B"/>
    <w:rsid w:val="7CFE0F48"/>
    <w:rsid w:val="7D6762F6"/>
    <w:rsid w:val="7D7EC23E"/>
    <w:rsid w:val="7D7ED427"/>
    <w:rsid w:val="7D916348"/>
    <w:rsid w:val="7DBFFE98"/>
    <w:rsid w:val="7E8104AE"/>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9FFE8055"/>
    <w:rsid w:val="A6DD0D7F"/>
    <w:rsid w:val="ADC6F725"/>
    <w:rsid w:val="B7CF06AB"/>
    <w:rsid w:val="B7CFA926"/>
    <w:rsid w:val="B7F8786B"/>
    <w:rsid w:val="BABB6AA1"/>
    <w:rsid w:val="BB2F4199"/>
    <w:rsid w:val="BD079C78"/>
    <w:rsid w:val="BD733540"/>
    <w:rsid w:val="BF3735D5"/>
    <w:rsid w:val="BF7F09AC"/>
    <w:rsid w:val="BFD475C3"/>
    <w:rsid w:val="BFDE5EA6"/>
    <w:rsid w:val="BFF62FD5"/>
    <w:rsid w:val="CF3FF604"/>
    <w:rsid w:val="CF6FC6F3"/>
    <w:rsid w:val="CFD3D3D7"/>
    <w:rsid w:val="CFDF1009"/>
    <w:rsid w:val="CFFE03FE"/>
    <w:rsid w:val="D5E7AE6D"/>
    <w:rsid w:val="D7D7B16A"/>
    <w:rsid w:val="D8D6DB89"/>
    <w:rsid w:val="DB6F4CAB"/>
    <w:rsid w:val="DB777682"/>
    <w:rsid w:val="DCBDF1F6"/>
    <w:rsid w:val="DD1FB521"/>
    <w:rsid w:val="DEFBFEAE"/>
    <w:rsid w:val="DF1F3B80"/>
    <w:rsid w:val="DF6F9789"/>
    <w:rsid w:val="DF838D64"/>
    <w:rsid w:val="DFBF8F5C"/>
    <w:rsid w:val="DFDF8475"/>
    <w:rsid w:val="DFFF540A"/>
    <w:rsid w:val="DFFFA9E8"/>
    <w:rsid w:val="E5F4E9DC"/>
    <w:rsid w:val="E70984CB"/>
    <w:rsid w:val="E70FE695"/>
    <w:rsid w:val="EA7FF383"/>
    <w:rsid w:val="ECFED1BC"/>
    <w:rsid w:val="ED1D69BB"/>
    <w:rsid w:val="ED7FD312"/>
    <w:rsid w:val="EF53993F"/>
    <w:rsid w:val="EF6FD633"/>
    <w:rsid w:val="EFBFB2F4"/>
    <w:rsid w:val="EFBFFA21"/>
    <w:rsid w:val="F2BEBCB8"/>
    <w:rsid w:val="F36FB518"/>
    <w:rsid w:val="F3DE1A04"/>
    <w:rsid w:val="F3EF2826"/>
    <w:rsid w:val="F3F722E5"/>
    <w:rsid w:val="F77F4C9E"/>
    <w:rsid w:val="F7F3DF2E"/>
    <w:rsid w:val="FA5F1E70"/>
    <w:rsid w:val="FA5FDB97"/>
    <w:rsid w:val="FB57E249"/>
    <w:rsid w:val="FB7F486A"/>
    <w:rsid w:val="FBFEE8CF"/>
    <w:rsid w:val="FBFF5B2E"/>
    <w:rsid w:val="FD7FFE2B"/>
    <w:rsid w:val="FDEB2680"/>
    <w:rsid w:val="FDEE196B"/>
    <w:rsid w:val="FDFE6575"/>
    <w:rsid w:val="FE6E9D8E"/>
    <w:rsid w:val="FEDFDDC2"/>
    <w:rsid w:val="FEED32F6"/>
    <w:rsid w:val="FEF4AB6A"/>
    <w:rsid w:val="FEF781DD"/>
    <w:rsid w:val="FF3F7E3F"/>
    <w:rsid w:val="FFBA12D7"/>
    <w:rsid w:val="FFBFE07A"/>
    <w:rsid w:val="FFD9384B"/>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keepNext w:val="0"/>
      <w:keepLines w:val="0"/>
      <w:widowControl w:val="0"/>
      <w:suppressLineNumbers w:val="0"/>
      <w:suppressAutoHyphens/>
      <w:spacing w:before="0" w:beforeAutospacing="1" w:after="0" w:afterAutospacing="1"/>
      <w:jc w:val="left"/>
    </w:pPr>
    <w:rPr>
      <w:rFonts w:hint="default" w:ascii="Calibri" w:hAnsi="Calibri" w:eastAsia="宋体" w:cs="Times New Roman"/>
      <w:kern w:val="0"/>
      <w:sz w:val="24"/>
      <w:szCs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2"/>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正文首行缩进 2 Char"/>
    <w:basedOn w:val="17"/>
    <w:link w:val="7"/>
    <w:qFormat/>
    <w:uiPriority w:val="99"/>
    <w:rPr>
      <w:rFonts w:ascii="仿宋_GB2312"/>
      <w:kern w:val="2"/>
      <w:sz w:val="21"/>
      <w:szCs w:val="32"/>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media/user/&#25968;&#25454;&#30424;4/2026/2025&#20915;&#31639;&#20844;&#24320;/&#37096;&#38376;/601-&#25856;&#26525;&#33457;&#24066;&#20892;&#19994;&#20892;&#26449;&#23616;&#37096;&#38376;.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media/user/&#25968;&#25454;&#30424;4/2026/2025&#20915;&#31639;&#20844;&#24320;/&#37096;&#38376;/601-&#25856;&#26525;&#33457;&#24066;&#20892;&#19994;&#20892;&#26449;&#23616;&#37096;&#38376;.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media/user/&#25968;&#25454;&#30424;4/2026/2025&#20915;&#31639;&#20844;&#24320;/&#37096;&#38376;/601-&#25856;&#26525;&#33457;&#24066;&#20892;&#19994;&#20892;&#26449;&#23616;&#37096;&#3837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edia/user/&#25968;&#25454;&#30424;4/2026/2025&#20915;&#31639;&#20844;&#24320;/&#37096;&#38376;/601-&#25856;&#26525;&#33457;&#24066;&#20892;&#19994;&#20892;&#26449;&#23616;&#37096;&#3837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edia/user/&#25968;&#25454;&#30424;4/2026/2025&#20915;&#31639;&#20844;&#24320;/&#37096;&#38376;/601-&#25856;&#26525;&#33457;&#24066;&#20892;&#19994;&#20892;&#26449;&#23616;&#37096;&#38376;.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media/user/&#25968;&#25454;&#30424;4/2026/2025&#20915;&#31639;&#20844;&#24320;/&#37096;&#38376;/601-&#25856;&#26525;&#33457;&#24066;&#20892;&#19994;&#20892;&#26449;&#23616;&#37096;&#38376;.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media/user/&#25968;&#25454;&#30424;4/2026/2025&#20915;&#31639;&#20844;&#24320;/&#37096;&#38376;/601-&#25856;&#26525;&#33457;&#24066;&#20892;&#19994;&#20892;&#26449;&#23616;&#37096;&#3837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'[601-攀枝花市农业农村局部门.xls]Sheet1'!$B$1</c:f>
              <c:strCache>
                <c:ptCount val="1"/>
                <c:pt idx="0">
                  <c:v>收入、支出决算总计变动情况图</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numRef>
              <c:f>'[601-攀枝花市农业农村局部门.xls]Sheet1'!$A$2:$A$3</c:f>
              <c:numCache>
                <c:formatCode>General</c:formatCode>
                <c:ptCount val="2"/>
                <c:pt idx="0">
                  <c:v>2024</c:v>
                </c:pt>
                <c:pt idx="1">
                  <c:v>2025</c:v>
                </c:pt>
              </c:numCache>
            </c:numRef>
          </c:cat>
          <c:val>
            <c:numRef>
              <c:f>'[601-攀枝花市农业农村局部门.xls]Sheet1'!$B$2:$B$3</c:f>
              <c:numCache>
                <c:formatCode>General</c:formatCode>
                <c:ptCount val="2"/>
                <c:pt idx="0">
                  <c:v>4322.11</c:v>
                </c:pt>
                <c:pt idx="1">
                  <c:v>4753.63</c:v>
                </c:pt>
              </c:numCache>
            </c:numRef>
          </c:val>
        </c:ser>
        <c:dLbls>
          <c:showLegendKey val="false"/>
          <c:showVal val="true"/>
          <c:showCatName val="false"/>
          <c:showSerName val="false"/>
          <c:showPercent val="false"/>
          <c:showBubbleSize val="false"/>
        </c:dLbls>
        <c:gapWidth val="219"/>
        <c:overlap val="-27"/>
        <c:axId val="669058774"/>
        <c:axId val="127879134"/>
      </c:barChart>
      <c:catAx>
        <c:axId val="669058774"/>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753722222222222"/>
              <c:y val="0.866666666666667"/>
            </c:manualLayout>
          </c:layout>
          <c:overlay val="false"/>
          <c:spPr>
            <a:noFill/>
            <a:ln>
              <a:noFill/>
            </a:ln>
            <a:effectLst/>
          </c:spPr>
        </c:title>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27879134"/>
        <c:crosses val="autoZero"/>
        <c:auto val="true"/>
        <c:lblAlgn val="ctr"/>
        <c:lblOffset val="100"/>
        <c:noMultiLvlLbl val="false"/>
      </c:catAx>
      <c:valAx>
        <c:axId val="127879134"/>
        <c:scaling>
          <c:orientation val="minMax"/>
          <c:min val="0"/>
        </c:scaling>
        <c:delete val="false"/>
        <c:axPos val="l"/>
        <c:majorGridlines>
          <c:spPr>
            <a:ln w="9525" cap="flat" cmpd="sng" algn="ctr">
              <a:solidFill>
                <a:schemeClr val="tx1">
                  <a:lumMod val="15000"/>
                  <a:lumOff val="85000"/>
                </a:schemeClr>
              </a:solidFill>
              <a:prstDash val="solid"/>
              <a:round/>
            </a:ln>
            <a:effectLst/>
          </c:spPr>
        </c:majorGridlines>
        <c:title>
          <c:layout/>
          <c:overlay val="false"/>
          <c:spPr>
            <a:noFill/>
            <a:ln>
              <a:noFill/>
            </a:ln>
            <a:effectLst/>
          </c:spPr>
          <c:tx>
            <c:rich>
              <a:bodyPr/>
              <a:lstStyle/>
              <a:p>
                <a:pPr>
                  <a:defRPr/>
                </a:pPr>
              </a:p>
            </c:rich>
          </c:tx>
        </c:title>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69058774"/>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'[601-攀枝花市农业农村局部门.xls]Sheet1'!$B$19</c:f>
              <c:strCache>
                <c:ptCount val="1"/>
                <c:pt idx="0">
                  <c:v>收入决算结构图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99.3%</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0.7%</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'[601-攀枝花市农业农村局部门.xls]Sheet1'!$A$20:$A$21</c:f>
              <c:strCache>
                <c:ptCount val="2"/>
                <c:pt idx="0">
                  <c:v>一般公共预算财政拨款收入</c:v>
                </c:pt>
                <c:pt idx="1">
                  <c:v>政府性基金预算财政拨款收入</c:v>
                </c:pt>
              </c:strCache>
            </c:strRef>
          </c:cat>
          <c:val>
            <c:numRef>
              <c:f>'[601-攀枝花市农业农村局部门.xls]Sheet1'!$B$20:$B$21</c:f>
              <c:numCache>
                <c:formatCode>0.00%</c:formatCode>
                <c:ptCount val="2"/>
                <c:pt idx="0">
                  <c:v>0.993</c:v>
                </c:pt>
                <c:pt idx="1">
                  <c:v>0.007</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'[601-攀枝花市农业农村局部门.xls]Sheet1'!$B$1</c:f>
              <c:strCache>
                <c:ptCount val="1"/>
                <c:pt idx="0">
                  <c:v>支出决算结构图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88.3%</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11.7%</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'[601-攀枝花市农业农村局部门.xls]Sheet1'!$A$2:$A$3</c:f>
              <c:strCache>
                <c:ptCount val="2"/>
                <c:pt idx="0">
                  <c:v>基本支出</c:v>
                </c:pt>
                <c:pt idx="1">
                  <c:v>项目支出</c:v>
                </c:pt>
              </c:strCache>
            </c:strRef>
          </c:cat>
          <c:val>
            <c:numRef>
              <c:f>'[601-攀枝花市农业农村局部门.xls]Sheet1'!$B$2:$B$3</c:f>
              <c:numCache>
                <c:formatCode>0.00%</c:formatCode>
                <c:ptCount val="2"/>
                <c:pt idx="0">
                  <c:v>0.883</c:v>
                </c:pt>
                <c:pt idx="1">
                  <c:v>0.117</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财政拨款收入、支出总计变动情况图</a:t>
            </a:r>
          </a:p>
        </c:rich>
      </c:tx>
      <c:layout/>
      <c:overlay val="false"/>
      <c:spPr>
        <a:noFill/>
        <a:ln>
          <a:noFill/>
        </a:ln>
        <a:effectLst/>
      </c:spPr>
    </c:title>
    <c:autoTitleDeleted val="false"/>
    <c:plotArea>
      <c:layout/>
      <c:barChart>
        <c:barDir val="col"/>
        <c:grouping val="clustered"/>
        <c:varyColors val="false"/>
        <c:ser>
          <c:idx val="0"/>
          <c:order val="0"/>
          <c:tx>
            <c:strRef>
              <c:f>'[601-攀枝花市农业农村局部门.xls]Sheet1'!$B$1</c:f>
              <c:strCache>
                <c:ptCount val="1"/>
                <c:pt idx="0">
                  <c:v>收入、支出决算总计变动情况图</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numRef>
              <c:f>'[601-攀枝花市农业农村局部门.xls]Sheet1'!$A$2:$A$3</c:f>
              <c:numCache>
                <c:formatCode>General</c:formatCode>
                <c:ptCount val="2"/>
                <c:pt idx="0">
                  <c:v>2024</c:v>
                </c:pt>
                <c:pt idx="1">
                  <c:v>2025</c:v>
                </c:pt>
              </c:numCache>
            </c:numRef>
          </c:cat>
          <c:val>
            <c:numRef>
              <c:f>'[601-攀枝花市农业农村局部门.xls]Sheet1'!$B$2:$B$3</c:f>
              <c:numCache>
                <c:formatCode>General</c:formatCode>
                <c:ptCount val="2"/>
                <c:pt idx="0">
                  <c:v>4322.11</c:v>
                </c:pt>
                <c:pt idx="1">
                  <c:v>4753.63</c:v>
                </c:pt>
              </c:numCache>
            </c:numRef>
          </c:val>
        </c:ser>
        <c:dLbls>
          <c:showLegendKey val="false"/>
          <c:showVal val="true"/>
          <c:showCatName val="false"/>
          <c:showSerName val="false"/>
          <c:showPercent val="false"/>
          <c:showBubbleSize val="false"/>
        </c:dLbls>
        <c:gapWidth val="219"/>
        <c:overlap val="-27"/>
        <c:axId val="669058774"/>
        <c:axId val="127879134"/>
      </c:barChart>
      <c:catAx>
        <c:axId val="669058774"/>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753722222222222"/>
              <c:y val="0.866666666666667"/>
            </c:manualLayout>
          </c:layout>
          <c:overlay val="false"/>
          <c:spPr>
            <a:noFill/>
            <a:ln>
              <a:noFill/>
            </a:ln>
            <a:effectLst/>
          </c:spPr>
        </c:title>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27879134"/>
        <c:crosses val="autoZero"/>
        <c:auto val="true"/>
        <c:lblAlgn val="ctr"/>
        <c:lblOffset val="100"/>
        <c:noMultiLvlLbl val="false"/>
      </c:catAx>
      <c:valAx>
        <c:axId val="127879134"/>
        <c:scaling>
          <c:orientation val="minMax"/>
          <c:min val="0"/>
        </c:scaling>
        <c:delete val="false"/>
        <c:axPos val="l"/>
        <c:majorGridlines>
          <c:spPr>
            <a:ln w="9525" cap="flat" cmpd="sng" algn="ctr">
              <a:solidFill>
                <a:schemeClr val="tx1">
                  <a:lumMod val="15000"/>
                  <a:lumOff val="85000"/>
                </a:schemeClr>
              </a:solidFill>
              <a:prstDash val="solid"/>
              <a:round/>
            </a:ln>
            <a:effectLst/>
          </c:spPr>
        </c:majorGridlines>
        <c:title>
          <c:layout/>
          <c:overlay val="false"/>
          <c:spPr>
            <a:noFill/>
            <a:ln>
              <a:noFill/>
            </a:ln>
            <a:effectLst/>
          </c:spPr>
          <c:tx>
            <c:rich>
              <a:bodyPr/>
              <a:lstStyle/>
              <a:p>
                <a:pPr>
                  <a:defRPr/>
                </a:pPr>
              </a:p>
            </c:rich>
          </c:tx>
        </c:title>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69058774"/>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'[601-攀枝花市农业农村局部门.xls]Sheet1'!$B$19</c:f>
              <c:strCache>
                <c:ptCount val="1"/>
                <c:pt idx="0">
                  <c:v>一般公共预算财政拨款支出决算变动情况</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numRef>
              <c:f>'[601-攀枝花市农业农村局部门.xls]Sheet1'!$A$20:$A$21</c:f>
              <c:numCache>
                <c:formatCode>General</c:formatCode>
                <c:ptCount val="2"/>
                <c:pt idx="0">
                  <c:v>2024</c:v>
                </c:pt>
                <c:pt idx="1">
                  <c:v>2025</c:v>
                </c:pt>
              </c:numCache>
            </c:numRef>
          </c:cat>
          <c:val>
            <c:numRef>
              <c:f>'[601-攀枝花市农业农村局部门.xls]Sheet1'!$B$20:$B$21</c:f>
              <c:numCache>
                <c:formatCode>General</c:formatCode>
                <c:ptCount val="2"/>
                <c:pt idx="0">
                  <c:v>4195.47</c:v>
                </c:pt>
                <c:pt idx="1">
                  <c:v>4720.13</c:v>
                </c:pt>
              </c:numCache>
            </c:numRef>
          </c:val>
        </c:ser>
        <c:dLbls>
          <c:showLegendKey val="false"/>
          <c:showVal val="true"/>
          <c:showCatName val="false"/>
          <c:showSerName val="false"/>
          <c:showPercent val="false"/>
          <c:showBubbleSize val="false"/>
        </c:dLbls>
        <c:gapWidth val="219"/>
        <c:overlap val="-27"/>
        <c:axId val="756629047"/>
        <c:axId val="686682568"/>
      </c:barChart>
      <c:catAx>
        <c:axId val="756629047"/>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734694444444444"/>
              <c:y val="0.8875"/>
            </c:manualLayout>
          </c:layout>
          <c:overlay val="false"/>
          <c:spPr>
            <a:noFill/>
            <a:ln>
              <a:noFill/>
            </a:ln>
            <a:effectLst/>
          </c:spPr>
        </c:title>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86682568"/>
        <c:crosses val="autoZero"/>
        <c:auto val="true"/>
        <c:lblAlgn val="ctr"/>
        <c:lblOffset val="100"/>
        <c:noMultiLvlLbl val="false"/>
      </c:catAx>
      <c:valAx>
        <c:axId val="686682568"/>
        <c:scaling>
          <c:orientation val="minMax"/>
          <c:min val="0"/>
        </c:scaling>
        <c:delete val="false"/>
        <c:axPos val="l"/>
        <c:majorGridlines>
          <c:spPr>
            <a:ln w="9525" cap="flat" cmpd="sng" algn="ctr">
              <a:solidFill>
                <a:schemeClr val="tx1">
                  <a:lumMod val="15000"/>
                  <a:lumOff val="85000"/>
                </a:schemeClr>
              </a:solidFill>
              <a:prstDash val="solid"/>
              <a:round/>
            </a:ln>
            <a:effectLst/>
          </c:spPr>
        </c:majorGridlines>
        <c:title>
          <c:layout/>
          <c:overlay val="false"/>
          <c:spPr>
            <a:noFill/>
            <a:ln>
              <a:noFill/>
            </a:ln>
            <a:effectLst/>
          </c:spPr>
          <c:tx>
            <c:rich>
              <a:bodyPr/>
              <a:lstStyle/>
              <a:p>
                <a:pPr>
                  <a:defRPr/>
                </a:pPr>
              </a:p>
            </c:rich>
          </c:tx>
        </c:title>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56629047"/>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'[601-攀枝花市农业农村局部门.xls]Sheet1'!$B$38</c:f>
              <c:strCache>
                <c:ptCount val="1"/>
                <c:pt idx="0">
                  <c:v>一般公共预算财政拨款支出决算结构</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'[601-攀枝花市农业农村局部门.xls]Sheet1'!$A$39:$A$43</c:f>
              <c:strCache>
                <c:ptCount val="5"/>
                <c:pt idx="0">
                  <c:v>一般公共服务支出</c:v>
                </c:pt>
                <c:pt idx="1">
                  <c:v>社会保障和就业支出</c:v>
                </c:pt>
                <c:pt idx="2">
                  <c:v>卫生健康支出</c:v>
                </c:pt>
                <c:pt idx="3">
                  <c:v>农林水支出</c:v>
                </c:pt>
                <c:pt idx="4">
                  <c:v>住房保障支出</c:v>
                </c:pt>
              </c:strCache>
            </c:strRef>
          </c:cat>
          <c:val>
            <c:numRef>
              <c:f>'[601-攀枝花市农业农村局部门.xls]Sheet1'!$B$39:$B$43</c:f>
              <c:numCache>
                <c:formatCode>0.0%</c:formatCode>
                <c:ptCount val="5"/>
                <c:pt idx="0">
                  <c:v>0.002</c:v>
                </c:pt>
                <c:pt idx="1">
                  <c:v>0.133</c:v>
                </c:pt>
                <c:pt idx="2">
                  <c:v>0.041</c:v>
                </c:pt>
                <c:pt idx="3">
                  <c:v>0.769</c:v>
                </c:pt>
                <c:pt idx="4">
                  <c:v>0.055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'[601-攀枝花市农业农村局部门.xls]Sheet1'!$B$59</c:f>
              <c:strCache>
                <c:ptCount val="1"/>
                <c:pt idx="0">
                  <c:v>财政拨款“三公”经费支出结构</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88.8%</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11.2%</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'[601-攀枝花市农业农村局部门.xls]Sheet1'!$A$60:$A$61</c:f>
              <c:strCache>
                <c:ptCount val="2"/>
                <c:pt idx="0">
                  <c:v>公务用车购置及运行维护费支出决算</c:v>
                </c:pt>
                <c:pt idx="1">
                  <c:v>公务接待费支出决算</c:v>
                </c:pt>
              </c:strCache>
            </c:strRef>
          </c:cat>
          <c:val>
            <c:numRef>
              <c:f>'[601-攀枝花市农业农村局部门.xls]Sheet1'!$B$60:$B$61</c:f>
              <c:numCache>
                <c:formatCode>0.00%</c:formatCode>
                <c:ptCount val="2"/>
                <c:pt idx="0">
                  <c:v>0.888</c:v>
                </c:pt>
                <c:pt idx="1">
                  <c:v>0.112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3b2df8d-2cba-4aef-b9ab-5a86d49d10e1}"/>
        <w:style w:val=""/>
        <w:category>
          <w:name w:val="常规"/>
          <w:gallery w:val="placeholder"/>
        </w:category>
        <w:types>
          <w:type w:val="bbPlcHdr"/>
        </w:types>
        <w:behaviors>
          <w:behavior w:val="content"/>
        </w:behaviors>
        <w:description w:val=""/>
        <w:guid w:val="{73b2df8d-2cba-4aef-b9ab-5a86d49d10e1}"/>
      </w:docPartPr>
      <w:docPartBody>
        <w:p>
          <w:r>
            <w:rPr>
              <w:color w:val="808080"/>
            </w:rPr>
            <w:t>单击此处输入文字。</w:t>
          </w:r>
        </w:p>
      </w:docPartBody>
    </w:docPart>
    <w:docPart>
      <w:docPartPr>
        <w:name w:val="{f969308f-245c-4833-823b-6541520f7a70}"/>
        <w:style w:val=""/>
        <w:category>
          <w:name w:val="常规"/>
          <w:gallery w:val="placeholder"/>
        </w:category>
        <w:types>
          <w:type w:val="bbPlcHdr"/>
        </w:types>
        <w:behaviors>
          <w:behavior w:val="content"/>
        </w:behaviors>
        <w:description w:val=""/>
        <w:guid w:val="{f969308f-245c-4833-823b-6541520f7a70}"/>
      </w:docPartPr>
      <w:docPartBody>
        <w:p>
          <w:r>
            <w:rPr>
              <w:color w:val="808080"/>
            </w:rPr>
            <w:t>单击此处输入文字。</w:t>
          </w:r>
        </w:p>
      </w:docPartBody>
    </w:docPart>
    <w:docPart>
      <w:docPartPr>
        <w:name w:val="{b91924d7-5bd8-489c-beb8-64dc8bd7eabc}"/>
        <w:style w:val=""/>
        <w:category>
          <w:name w:val="常规"/>
          <w:gallery w:val="placeholder"/>
        </w:category>
        <w:types>
          <w:type w:val="bbPlcHdr"/>
        </w:types>
        <w:behaviors>
          <w:behavior w:val="content"/>
        </w:behaviors>
        <w:description w:val=""/>
        <w:guid w:val="{b91924d7-5bd8-489c-beb8-64dc8bd7eabc}"/>
      </w:docPartPr>
      <w:docPartBody>
        <w:p>
          <w:r>
            <w:rPr>
              <w:color w:val="808080"/>
            </w:rPr>
            <w:t>单击此处输入文字。</w:t>
          </w:r>
        </w:p>
      </w:docPartBody>
    </w:docPart>
    <w:docPart>
      <w:docPartPr>
        <w:name w:val="{cc2ce66d-4344-4844-8117-bbb25fc1f425}"/>
        <w:style w:val=""/>
        <w:category>
          <w:name w:val="常规"/>
          <w:gallery w:val="placeholder"/>
        </w:category>
        <w:types>
          <w:type w:val="bbPlcHdr"/>
        </w:types>
        <w:behaviors>
          <w:behavior w:val="content"/>
        </w:behaviors>
        <w:description w:val=""/>
        <w:guid w:val="{cc2ce66d-4344-4844-8117-bbb25fc1f425}"/>
      </w:docPartPr>
      <w:docPartBody>
        <w:p>
          <w:r>
            <w:rPr>
              <w:color w:val="808080"/>
            </w:rPr>
            <w:t>单击此处输入文字。</w:t>
          </w:r>
        </w:p>
      </w:docPartBody>
    </w:docPart>
    <w:docPart>
      <w:docPartPr>
        <w:name w:val="{ef41a9a8-80e7-4c7e-9cfc-5781a5cdc998}"/>
        <w:style w:val=""/>
        <w:category>
          <w:name w:val="常规"/>
          <w:gallery w:val="placeholder"/>
        </w:category>
        <w:types>
          <w:type w:val="bbPlcHdr"/>
        </w:types>
        <w:behaviors>
          <w:behavior w:val="content"/>
        </w:behaviors>
        <w:description w:val=""/>
        <w:guid w:val="{ef41a9a8-80e7-4c7e-9cfc-5781a5cdc998}"/>
      </w:docPartPr>
      <w:docPartBody>
        <w:p>
          <w:r>
            <w:rPr>
              <w:color w:val="808080"/>
            </w:rPr>
            <w:t>单击此处输入文字。</w:t>
          </w:r>
        </w:p>
      </w:docPartBody>
    </w:docPart>
    <w:docPart>
      <w:docPartPr>
        <w:name w:val="{1a268e46-ac09-4b1c-8a52-b1299cce0949}"/>
        <w:style w:val=""/>
        <w:category>
          <w:name w:val="常规"/>
          <w:gallery w:val="placeholder"/>
        </w:category>
        <w:types>
          <w:type w:val="bbPlcHdr"/>
        </w:types>
        <w:behaviors>
          <w:behavior w:val="content"/>
        </w:behaviors>
        <w:description w:val=""/>
        <w:guid w:val="{1a268e46-ac09-4b1c-8a52-b1299cce0949}"/>
      </w:docPartPr>
      <w:docPartBody>
        <w:p>
          <w:r>
            <w:rPr>
              <w:color w:val="808080"/>
            </w:rPr>
            <w:t>单击此处输入文字。</w:t>
          </w:r>
        </w:p>
      </w:docPartBody>
    </w:docPart>
    <w:docPart>
      <w:docPartPr>
        <w:name w:val="{23cd8208-d6fd-4fd9-9ee8-2e032dbc0987}"/>
        <w:style w:val=""/>
        <w:category>
          <w:name w:val="常规"/>
          <w:gallery w:val="placeholder"/>
        </w:category>
        <w:types>
          <w:type w:val="bbPlcHdr"/>
        </w:types>
        <w:behaviors>
          <w:behavior w:val="content"/>
        </w:behaviors>
        <w:description w:val=""/>
        <w:guid w:val="{23cd8208-d6fd-4fd9-9ee8-2e032dbc0987}"/>
      </w:docPartPr>
      <w:docPartBody>
        <w:p>
          <w:r>
            <w:rPr>
              <w:color w:val="808080"/>
            </w:rPr>
            <w:t>单击此处输入文字。</w:t>
          </w:r>
        </w:p>
      </w:docPartBody>
    </w:docPart>
    <w:docPart>
      <w:docPartPr>
        <w:name w:val="{f5b5979d-cdb1-467c-98bd-b7092de35562}"/>
        <w:style w:val=""/>
        <w:category>
          <w:name w:val="常规"/>
          <w:gallery w:val="placeholder"/>
        </w:category>
        <w:types>
          <w:type w:val="bbPlcHdr"/>
        </w:types>
        <w:behaviors>
          <w:behavior w:val="content"/>
        </w:behaviors>
        <w:description w:val=""/>
        <w:guid w:val="{f5b5979d-cdb1-467c-98bd-b7092de35562}"/>
      </w:docPartPr>
      <w:docPartBody>
        <w:p>
          <w:r>
            <w:rPr>
              <w:color w:val="808080"/>
            </w:rPr>
            <w:t>单击此处输入文字。</w:t>
          </w:r>
        </w:p>
      </w:docPartBody>
    </w:docPart>
    <w:docPart>
      <w:docPartPr>
        <w:name w:val="{78f8eb33-8ba0-4517-8b8e-51d8c57b91a1}"/>
        <w:style w:val=""/>
        <w:category>
          <w:name w:val="常规"/>
          <w:gallery w:val="placeholder"/>
        </w:category>
        <w:types>
          <w:type w:val="bbPlcHdr"/>
        </w:types>
        <w:behaviors>
          <w:behavior w:val="content"/>
        </w:behaviors>
        <w:description w:val=""/>
        <w:guid w:val="{78f8eb33-8ba0-4517-8b8e-51d8c57b91a1}"/>
      </w:docPartPr>
      <w:docPartBody>
        <w:p>
          <w:r>
            <w:rPr>
              <w:color w:val="808080"/>
            </w:rPr>
            <w:t>单击此处输入文字。</w:t>
          </w:r>
        </w:p>
      </w:docPartBody>
    </w:docPart>
    <w:docPart>
      <w:docPartPr>
        <w:name w:val="{ce2ba209-794e-49a7-9ca9-f0016b4c2356}"/>
        <w:style w:val=""/>
        <w:category>
          <w:name w:val="常规"/>
          <w:gallery w:val="placeholder"/>
        </w:category>
        <w:types>
          <w:type w:val="bbPlcHdr"/>
        </w:types>
        <w:behaviors>
          <w:behavior w:val="content"/>
        </w:behaviors>
        <w:description w:val=""/>
        <w:guid w:val="{ce2ba209-794e-49a7-9ca9-f0016b4c2356}"/>
      </w:docPartPr>
      <w:docPartBody>
        <w:p>
          <w:r>
            <w:rPr>
              <w:color w:val="808080"/>
            </w:rPr>
            <w:t>单击此处输入文字。</w:t>
          </w:r>
        </w:p>
      </w:docPartBody>
    </w:docPart>
    <w:docPart>
      <w:docPartPr>
        <w:name w:val="{cf0f4651-da24-4267-8e71-97cd22b22e4e}"/>
        <w:style w:val=""/>
        <w:category>
          <w:name w:val="常规"/>
          <w:gallery w:val="placeholder"/>
        </w:category>
        <w:types>
          <w:type w:val="bbPlcHdr"/>
        </w:types>
        <w:behaviors>
          <w:behavior w:val="content"/>
        </w:behaviors>
        <w:description w:val=""/>
        <w:guid w:val="{cf0f4651-da24-4267-8e71-97cd22b22e4e}"/>
      </w:docPartPr>
      <w:docPartBody>
        <w:p>
          <w:r>
            <w:rPr>
              <w:color w:val="808080"/>
            </w:rPr>
            <w:t>单击此处输入文字。</w:t>
          </w:r>
        </w:p>
      </w:docPartBody>
    </w:docPart>
    <w:docPart>
      <w:docPartPr>
        <w:name w:val="{a5817452-11d5-46a7-bad6-875ec9c9ea48}"/>
        <w:style w:val=""/>
        <w:category>
          <w:name w:val="常规"/>
          <w:gallery w:val="placeholder"/>
        </w:category>
        <w:types>
          <w:type w:val="bbPlcHdr"/>
        </w:types>
        <w:behaviors>
          <w:behavior w:val="content"/>
        </w:behaviors>
        <w:description w:val=""/>
        <w:guid w:val="{a5817452-11d5-46a7-bad6-875ec9c9ea48}"/>
      </w:docPartPr>
      <w:docPartBody>
        <w:p>
          <w:r>
            <w:rPr>
              <w:color w:val="808080"/>
            </w:rPr>
            <w:t>单击此处输入文字。</w:t>
          </w:r>
        </w:p>
      </w:docPartBody>
    </w:docPart>
    <w:docPart>
      <w:docPartPr>
        <w:name w:val="{f0c5bc5d-24bc-40b7-aeda-edbd2dce36be}"/>
        <w:style w:val=""/>
        <w:category>
          <w:name w:val="常规"/>
          <w:gallery w:val="placeholder"/>
        </w:category>
        <w:types>
          <w:type w:val="bbPlcHdr"/>
        </w:types>
        <w:behaviors>
          <w:behavior w:val="content"/>
        </w:behaviors>
        <w:description w:val=""/>
        <w:guid w:val="{f0c5bc5d-24bc-40b7-aeda-edbd2dce36be}"/>
      </w:docPartPr>
      <w:docPartBody>
        <w:p>
          <w:r>
            <w:rPr>
              <w:color w:val="808080"/>
            </w:rPr>
            <w:t>单击此处输入文字。</w:t>
          </w:r>
        </w:p>
      </w:docPartBody>
    </w:docPart>
    <w:docPart>
      <w:docPartPr>
        <w:name w:val="{c3f621d2-7537-443c-ae75-532e02a0ae5a}"/>
        <w:style w:val=""/>
        <w:category>
          <w:name w:val="常规"/>
          <w:gallery w:val="placeholder"/>
        </w:category>
        <w:types>
          <w:type w:val="bbPlcHdr"/>
        </w:types>
        <w:behaviors>
          <w:behavior w:val="content"/>
        </w:behaviors>
        <w:description w:val=""/>
        <w:guid w:val="{c3f621d2-7537-443c-ae75-532e02a0ae5a}"/>
      </w:docPartPr>
      <w:docPartBody>
        <w:p>
          <w:r>
            <w:rPr>
              <w:color w:val="808080"/>
            </w:rPr>
            <w:t>单击此处输入文字。</w:t>
          </w:r>
        </w:p>
      </w:docPartBody>
    </w:docPart>
    <w:docPart>
      <w:docPartPr>
        <w:name w:val="{6c2dc548-6aaf-4a83-8df9-0b6f118e2e18}"/>
        <w:style w:val=""/>
        <w:category>
          <w:name w:val="常规"/>
          <w:gallery w:val="placeholder"/>
        </w:category>
        <w:types>
          <w:type w:val="bbPlcHdr"/>
        </w:types>
        <w:behaviors>
          <w:behavior w:val="content"/>
        </w:behaviors>
        <w:description w:val=""/>
        <w:guid w:val="{6c2dc548-6aaf-4a83-8df9-0b6f118e2e18}"/>
      </w:docPartPr>
      <w:docPartBody>
        <w:p>
          <w:r>
            <w:rPr>
              <w:color w:val="808080"/>
            </w:rPr>
            <w:t>单击此处输入文字。</w:t>
          </w:r>
        </w:p>
      </w:docPartBody>
    </w:docPart>
    <w:docPart>
      <w:docPartPr>
        <w:name w:val="{10e3ad7d-3c60-42ff-8f94-b6c692c80218}"/>
        <w:style w:val=""/>
        <w:category>
          <w:name w:val="常规"/>
          <w:gallery w:val="placeholder"/>
        </w:category>
        <w:types>
          <w:type w:val="bbPlcHdr"/>
        </w:types>
        <w:behaviors>
          <w:behavior w:val="content"/>
        </w:behaviors>
        <w:description w:val=""/>
        <w:guid w:val="{10e3ad7d-3c60-42ff-8f94-b6c692c80218}"/>
      </w:docPartPr>
      <w:docPartBody>
        <w:p>
          <w:r>
            <w:rPr>
              <w:color w:val="808080"/>
            </w:rPr>
            <w:t>单击此处输入文字。</w:t>
          </w:r>
        </w:p>
      </w:docPartBody>
    </w:docPart>
    <w:docPart>
      <w:docPartPr>
        <w:name w:val="{393fc9f8-6f3b-4a25-af8f-89e2e3484bb0}"/>
        <w:style w:val=""/>
        <w:category>
          <w:name w:val="常规"/>
          <w:gallery w:val="placeholder"/>
        </w:category>
        <w:types>
          <w:type w:val="bbPlcHdr"/>
        </w:types>
        <w:behaviors>
          <w:behavior w:val="content"/>
        </w:behaviors>
        <w:description w:val=""/>
        <w:guid w:val="{393fc9f8-6f3b-4a25-af8f-89e2e3484bb0}"/>
      </w:docPartPr>
      <w:docPartBody>
        <w:p>
          <w:r>
            <w:rPr>
              <w:color w:val="808080"/>
            </w:rPr>
            <w:t>单击此处输入文字。</w:t>
          </w:r>
        </w:p>
      </w:docPartBody>
    </w:docPart>
    <w:docPart>
      <w:docPartPr>
        <w:name w:val="{5bc91161-50d5-4005-bb5f-93b11f46a6a4}"/>
        <w:style w:val=""/>
        <w:category>
          <w:name w:val="常规"/>
          <w:gallery w:val="placeholder"/>
        </w:category>
        <w:types>
          <w:type w:val="bbPlcHdr"/>
        </w:types>
        <w:behaviors>
          <w:behavior w:val="content"/>
        </w:behaviors>
        <w:description w:val=""/>
        <w:guid w:val="{5bc91161-50d5-4005-bb5f-93b11f46a6a4}"/>
      </w:docPartPr>
      <w:docPartBody>
        <w:p>
          <w:r>
            <w:rPr>
              <w:color w:val="808080"/>
            </w:rPr>
            <w:t>单击此处输入文字。</w:t>
          </w:r>
        </w:p>
      </w:docPartBody>
    </w:docPart>
    <w:docPart>
      <w:docPartPr>
        <w:name w:val="{a214f4b4-0c74-4eb6-b25f-d8c9cdbe1234}"/>
        <w:style w:val=""/>
        <w:category>
          <w:name w:val="常规"/>
          <w:gallery w:val="placeholder"/>
        </w:category>
        <w:types>
          <w:type w:val="bbPlcHdr"/>
        </w:types>
        <w:behaviors>
          <w:behavior w:val="content"/>
        </w:behaviors>
        <w:description w:val=""/>
        <w:guid w:val="{a214f4b4-0c74-4eb6-b25f-d8c9cdbe1234}"/>
      </w:docPartPr>
      <w:docPartBody>
        <w:p>
          <w:r>
            <w:rPr>
              <w:color w:val="808080"/>
            </w:rPr>
            <w:t>单击此处输入文字。</w:t>
          </w:r>
        </w:p>
      </w:docPartBody>
    </w:docPart>
    <w:docPart>
      <w:docPartPr>
        <w:name w:val="{340b649c-3c6b-4bf0-bc5a-62b474dc990f}"/>
        <w:style w:val=""/>
        <w:category>
          <w:name w:val="常规"/>
          <w:gallery w:val="placeholder"/>
        </w:category>
        <w:types>
          <w:type w:val="bbPlcHdr"/>
        </w:types>
        <w:behaviors>
          <w:behavior w:val="content"/>
        </w:behaviors>
        <w:description w:val=""/>
        <w:guid w:val="{340b649c-3c6b-4bf0-bc5a-62b474dc990f}"/>
      </w:docPartPr>
      <w:docPartBody>
        <w:p>
          <w:r>
            <w:rPr>
              <w:color w:val="808080"/>
            </w:rPr>
            <w:t>单击此处输入文字。</w:t>
          </w:r>
        </w:p>
      </w:docPartBody>
    </w:docPart>
    <w:docPart>
      <w:docPartPr>
        <w:name w:val="{131818ec-be9d-4bad-a32f-2d017b743065}"/>
        <w:style w:val=""/>
        <w:category>
          <w:name w:val="常规"/>
          <w:gallery w:val="placeholder"/>
        </w:category>
        <w:types>
          <w:type w:val="bbPlcHdr"/>
        </w:types>
        <w:behaviors>
          <w:behavior w:val="content"/>
        </w:behaviors>
        <w:description w:val=""/>
        <w:guid w:val="{131818ec-be9d-4bad-a32f-2d017b743065}"/>
      </w:docPartPr>
      <w:docPartBody>
        <w:p>
          <w:r>
            <w:rPr>
              <w:color w:val="808080"/>
            </w:rPr>
            <w:t>单击此处输入文字。</w:t>
          </w:r>
        </w:p>
      </w:docPartBody>
    </w:docPart>
    <w:docPart>
      <w:docPartPr>
        <w:name w:val="{e9a03738-b39c-49d3-b347-6eda2d7c1490}"/>
        <w:style w:val=""/>
        <w:category>
          <w:name w:val="常规"/>
          <w:gallery w:val="placeholder"/>
        </w:category>
        <w:types>
          <w:type w:val="bbPlcHdr"/>
        </w:types>
        <w:behaviors>
          <w:behavior w:val="content"/>
        </w:behaviors>
        <w:description w:val=""/>
        <w:guid w:val="{e9a03738-b39c-49d3-b347-6eda2d7c1490}"/>
      </w:docPartPr>
      <w:docPartBody>
        <w:p>
          <w:r>
            <w:rPr>
              <w:color w:val="808080"/>
            </w:rPr>
            <w:t>单击此处输入文字。</w:t>
          </w:r>
        </w:p>
      </w:docPartBody>
    </w:docPart>
    <w:docPart>
      <w:docPartPr>
        <w:name w:val="{827cb6e1-c807-4e6c-8cf7-f2403b21580f}"/>
        <w:style w:val=""/>
        <w:category>
          <w:name w:val="常规"/>
          <w:gallery w:val="placeholder"/>
        </w:category>
        <w:types>
          <w:type w:val="bbPlcHdr"/>
        </w:types>
        <w:behaviors>
          <w:behavior w:val="content"/>
        </w:behaviors>
        <w:description w:val=""/>
        <w:guid w:val="{827cb6e1-c807-4e6c-8cf7-f2403b21580f}"/>
      </w:docPartPr>
      <w:docPartBody>
        <w:p>
          <w:r>
            <w:rPr>
              <w:color w:val="808080"/>
            </w:rPr>
            <w:t>单击此处输入文字。</w:t>
          </w:r>
        </w:p>
      </w:docPartBody>
    </w:docPart>
    <w:docPart>
      <w:docPartPr>
        <w:name w:val="{30c54d0d-a37b-48d0-8917-b53ff2e51f84}"/>
        <w:style w:val=""/>
        <w:category>
          <w:name w:val="常规"/>
          <w:gallery w:val="placeholder"/>
        </w:category>
        <w:types>
          <w:type w:val="bbPlcHdr"/>
        </w:types>
        <w:behaviors>
          <w:behavior w:val="content"/>
        </w:behaviors>
        <w:description w:val=""/>
        <w:guid w:val="{30c54d0d-a37b-48d0-8917-b53ff2e51f84}"/>
      </w:docPartPr>
      <w:docPartBody>
        <w:p>
          <w:r>
            <w:rPr>
              <w:color w:val="808080"/>
            </w:rPr>
            <w:t>单击此处输入文字。</w:t>
          </w:r>
        </w:p>
      </w:docPartBody>
    </w:docPart>
    <w:docPart>
      <w:docPartPr>
        <w:name w:val="{64c56723-7053-4625-98ff-29c4ea6170db}"/>
        <w:style w:val=""/>
        <w:category>
          <w:name w:val="常规"/>
          <w:gallery w:val="placeholder"/>
        </w:category>
        <w:types>
          <w:type w:val="bbPlcHdr"/>
        </w:types>
        <w:behaviors>
          <w:behavior w:val="content"/>
        </w:behaviors>
        <w:description w:val=""/>
        <w:guid w:val="{64c56723-7053-4625-98ff-29c4ea6170db}"/>
      </w:docPartPr>
      <w:docPartBody>
        <w:p>
          <w:r>
            <w:rPr>
              <w:color w:val="808080"/>
            </w:rPr>
            <w:t>单击此处输入文字。</w:t>
          </w:r>
        </w:p>
      </w:docPartBody>
    </w:docPart>
    <w:docPart>
      <w:docPartPr>
        <w:name w:val="{5e93977a-b469-432b-a62c-10dc0557b71a}"/>
        <w:style w:val=""/>
        <w:category>
          <w:name w:val="常规"/>
          <w:gallery w:val="placeholder"/>
        </w:category>
        <w:types>
          <w:type w:val="bbPlcHdr"/>
        </w:types>
        <w:behaviors>
          <w:behavior w:val="content"/>
        </w:behaviors>
        <w:description w:val=""/>
        <w:guid w:val="{5e93977a-b469-432b-a62c-10dc0557b71a}"/>
      </w:docPartPr>
      <w:docPartBody>
        <w:p>
          <w:r>
            <w:rPr>
              <w:color w:val="808080"/>
            </w:rPr>
            <w:t>单击此处输入文字。</w:t>
          </w:r>
        </w:p>
      </w:docPartBody>
    </w:docPart>
    <w:docPart>
      <w:docPartPr>
        <w:name w:val="{606dae4e-0eb5-45c9-928e-5aba30b6fa35}"/>
        <w:style w:val=""/>
        <w:category>
          <w:name w:val="常规"/>
          <w:gallery w:val="placeholder"/>
        </w:category>
        <w:types>
          <w:type w:val="bbPlcHdr"/>
        </w:types>
        <w:behaviors>
          <w:behavior w:val="content"/>
        </w:behaviors>
        <w:description w:val=""/>
        <w:guid w:val="{606dae4e-0eb5-45c9-928e-5aba30b6fa35}"/>
      </w:docPartPr>
      <w:docPartBody>
        <w:p>
          <w:r>
            <w:rPr>
              <w:color w:val="808080"/>
            </w:rPr>
            <w:t>单击此处输入文字。</w:t>
          </w:r>
        </w:p>
      </w:docPartBody>
    </w:docPart>
    <w:docPart>
      <w:docPartPr>
        <w:name w:val="{ceeeb9aa-9862-4d62-bb10-5932026fd1ce}"/>
        <w:style w:val=""/>
        <w:category>
          <w:name w:val="常规"/>
          <w:gallery w:val="placeholder"/>
        </w:category>
        <w:types>
          <w:type w:val="bbPlcHdr"/>
        </w:types>
        <w:behaviors>
          <w:behavior w:val="content"/>
        </w:behaviors>
        <w:description w:val=""/>
        <w:guid w:val="{ceeeb9aa-9862-4d62-bb10-5932026fd1ce}"/>
      </w:docPartPr>
      <w:docPartBody>
        <w:p>
          <w:r>
            <w:rPr>
              <w:color w:val="808080"/>
            </w:rPr>
            <w:t>单击此处输入文字。</w:t>
          </w:r>
        </w:p>
      </w:docPartBody>
    </w:docPart>
    <w:docPart>
      <w:docPartPr>
        <w:name w:val="{c45a765c-adf9-4fd4-8f6b-3f8f0ff9f0bd}"/>
        <w:style w:val=""/>
        <w:category>
          <w:name w:val="常规"/>
          <w:gallery w:val="placeholder"/>
        </w:category>
        <w:types>
          <w:type w:val="bbPlcHdr"/>
        </w:types>
        <w:behaviors>
          <w:behavior w:val="content"/>
        </w:behaviors>
        <w:description w:val=""/>
        <w:guid w:val="{c45a765c-adf9-4fd4-8f6b-3f8f0ff9f0bd}"/>
      </w:docPartPr>
      <w:docPartBody>
        <w:p>
          <w:r>
            <w:rPr>
              <w:color w:val="808080"/>
            </w:rPr>
            <w:t>单击此处输入文字。</w:t>
          </w:r>
        </w:p>
      </w:docPartBody>
    </w:docPart>
    <w:docPart>
      <w:docPartPr>
        <w:name w:val="{c55010bc-57d6-42d9-bd0d-f027d2b0188d}"/>
        <w:style w:val=""/>
        <w:category>
          <w:name w:val="常规"/>
          <w:gallery w:val="placeholder"/>
        </w:category>
        <w:types>
          <w:type w:val="bbPlcHdr"/>
        </w:types>
        <w:behaviors>
          <w:behavior w:val="content"/>
        </w:behaviors>
        <w:description w:val=""/>
        <w:guid w:val="{c55010bc-57d6-42d9-bd0d-f027d2b0188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12751</Words>
  <Characters>13589</Characters>
  <Lines>1</Lines>
  <Paragraphs>1</Paragraphs>
  <TotalTime>7</TotalTime>
  <ScaleCrop>false</ScaleCrop>
  <LinksUpToDate>false</LinksUpToDate>
  <CharactersWithSpaces>13779</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2020-08-11T09:49:00Z</dcterms:created>
  <dc:creator>曹颖</dc:creator>
  <cp:lastModifiedBy>user</cp:lastModifiedBy>
  <cp:lastPrinted>2026-08-29T16:27:00Z</cp:lastPrinted>
  <dcterms:modified xsi:type="dcterms:W3CDTF">2026-09-11T10:07:29Z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y fmtid="{D5CDD505-2E9C-101B-9397-08002B2CF9AE}" pid="4" name="KSOTemplateDocerSaveRecord">
    <vt:lpwstr>eyJoZGlkIjoiMDE2ZDFkMGRmMzUwMjA1MjQzNGRiM2IwYWUxNjZlYzEiLCJ1c2VySWQiOiI2NDI0ODM5NDQifQ==</vt:lpwstr>
  </property>
</Properties>
</file>