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rPr>
      </w:pPr>
      <w:bookmarkStart w:id="0" w:name="_Toc15377425"/>
      <w:bookmarkStart w:id="1" w:name="_Toc15377193"/>
      <w:bookmarkStart w:id="2" w:name="_Toc15396475"/>
      <w:bookmarkStart w:id="3" w:name="_Toc15378441"/>
      <w:bookmarkStart w:id="4" w:name="_Toc15396597"/>
      <w:bookmarkStart w:id="5" w:name="_Toc15306267"/>
    </w:p>
    <w:p>
      <w:pPr>
        <w:pStyle w:val="2"/>
        <w:spacing w:before="93"/>
        <w:jc w:val="center"/>
        <w:rPr>
          <w:rFonts w:hint="default" w:ascii="Times New Roman" w:hAnsi="Times New Roman" w:eastAsia="方正小标宋简体" w:cs="Times New Roman"/>
          <w:kern w:val="2"/>
          <w:sz w:val="44"/>
          <w:szCs w:val="44"/>
        </w:rPr>
      </w:pPr>
    </w:p>
    <w:p>
      <w:pPr>
        <w:pStyle w:val="2"/>
        <w:spacing w:before="93"/>
        <w:jc w:val="center"/>
        <w:rPr>
          <w:rFonts w:hint="default" w:ascii="Times New Roman" w:hAnsi="Times New Roman" w:eastAsia="方正小标宋简体" w:cs="Times New Roman"/>
          <w:kern w:val="2"/>
          <w:sz w:val="44"/>
          <w:szCs w:val="44"/>
        </w:rPr>
      </w:pPr>
    </w:p>
    <w:p>
      <w:pPr>
        <w:pStyle w:val="2"/>
        <w:spacing w:before="93"/>
        <w:jc w:val="center"/>
        <w:rPr>
          <w:rFonts w:hint="default" w:ascii="Times New Roman" w:hAnsi="Times New Roman" w:eastAsia="方正小标宋简体" w:cs="Times New Roman"/>
          <w:kern w:val="2"/>
          <w:sz w:val="44"/>
          <w:szCs w:val="44"/>
        </w:rPr>
      </w:pPr>
    </w:p>
    <w:p>
      <w:pPr>
        <w:pStyle w:val="2"/>
        <w:spacing w:before="93"/>
        <w:jc w:val="center"/>
        <w:rPr>
          <w:rFonts w:hint="default" w:ascii="Times New Roman" w:hAnsi="Times New Roman" w:eastAsia="方正小标宋简体" w:cs="Times New Roman"/>
          <w:kern w:val="2"/>
          <w:sz w:val="44"/>
          <w:szCs w:val="44"/>
        </w:rPr>
      </w:pPr>
    </w:p>
    <w:bookmarkEnd w:id="0"/>
    <w:bookmarkEnd w:id="1"/>
    <w:bookmarkEnd w:id="2"/>
    <w:bookmarkEnd w:id="3"/>
    <w:bookmarkEnd w:id="4"/>
    <w:p>
      <w:pPr>
        <w:pStyle w:val="2"/>
        <w:spacing w:before="93"/>
        <w:jc w:val="center"/>
        <w:rPr>
          <w:rFonts w:hint="default" w:ascii="Times New Roman" w:hAnsi="Times New Roman" w:eastAsia="方正小标宋简体" w:cs="Times New Roman"/>
          <w:kern w:val="2"/>
          <w:sz w:val="44"/>
          <w:szCs w:val="44"/>
        </w:rPr>
      </w:pPr>
      <w:bookmarkStart w:id="6" w:name="_Toc15396476"/>
      <w:bookmarkStart w:id="7" w:name="_Toc15377426"/>
      <w:bookmarkStart w:id="8" w:name="_Toc15396598"/>
      <w:bookmarkStart w:id="9" w:name="_Toc15378442"/>
      <w:bookmarkStart w:id="10" w:name="_Toc15377194"/>
      <w:r>
        <w:rPr>
          <w:rFonts w:hint="default" w:ascii="Times New Roman" w:hAnsi="Times New Roman" w:eastAsia="方正小标宋简体" w:cs="Times New Roman"/>
          <w:kern w:val="2"/>
          <w:sz w:val="44"/>
          <w:szCs w:val="44"/>
        </w:rPr>
        <w:t>2025年度攀枝花市</w:t>
      </w:r>
      <w:bookmarkEnd w:id="5"/>
      <w:bookmarkStart w:id="11" w:name="_Toc15306268"/>
      <w:r>
        <w:rPr>
          <w:rFonts w:hint="default" w:ascii="Times New Roman" w:hAnsi="Times New Roman" w:eastAsia="方正小标宋简体" w:cs="Times New Roman"/>
          <w:kern w:val="2"/>
          <w:sz w:val="44"/>
          <w:szCs w:val="44"/>
          <w:lang w:eastAsia="zh-CN"/>
        </w:rPr>
        <w:t>农业农村局单位</w:t>
      </w:r>
      <w:r>
        <w:rPr>
          <w:rFonts w:hint="default" w:ascii="Times New Roman" w:hAnsi="Times New Roman" w:eastAsia="方正小标宋简体" w:cs="Times New Roman"/>
          <w:kern w:val="2"/>
          <w:sz w:val="44"/>
          <w:szCs w:val="44"/>
        </w:rPr>
        <w:t>决算</w:t>
      </w:r>
      <w:bookmarkEnd w:id="6"/>
      <w:bookmarkEnd w:id="7"/>
      <w:bookmarkEnd w:id="8"/>
      <w:bookmarkEnd w:id="9"/>
      <w:bookmarkEnd w:id="10"/>
      <w:bookmarkEnd w:id="11"/>
    </w:p>
    <w:p>
      <w:pPr>
        <w:widowControl/>
        <w:jc w:val="center"/>
        <w:rPr>
          <w:rFonts w:hint="default" w:ascii="Times New Roman" w:hAnsi="Times New Roman" w:eastAsia="黑体" w:cs="Times New Roman"/>
          <w:sz w:val="48"/>
          <w:szCs w:val="48"/>
        </w:rPr>
        <w:sectPr>
          <w:footerReference r:id="rId5" w:type="first"/>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pPr>
    </w:p>
    <w:p>
      <w:pPr>
        <w:widowControl/>
        <w:jc w:val="center"/>
        <w:rPr>
          <w:rFonts w:hint="default" w:ascii="Times New Roman" w:hAnsi="Times New Roman" w:eastAsia="黑体" w:cs="Times New Roman"/>
          <w:sz w:val="48"/>
          <w:szCs w:val="48"/>
        </w:rPr>
      </w:pPr>
      <w:r>
        <w:rPr>
          <w:rFonts w:hint="default" w:ascii="Times New Roman" w:hAnsi="Times New Roman" w:eastAsia="黑体" w:cs="Times New Roman"/>
          <w:sz w:val="48"/>
          <w:szCs w:val="48"/>
        </w:rPr>
        <w:t>目录</w:t>
      </w:r>
    </w:p>
    <w:p>
      <w:pPr>
        <w:widowControl/>
        <w:jc w:val="center"/>
        <w:rPr>
          <w:rFonts w:hint="default" w:ascii="Times New Roman" w:hAnsi="Times New Roman" w:eastAsia="黑体" w:cs="Times New Roman"/>
          <w:sz w:val="28"/>
          <w:szCs w:val="28"/>
        </w:rPr>
      </w:pPr>
    </w:p>
    <w:p>
      <w:pPr>
        <w:pStyle w:val="12"/>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公开时间：2026年 </w:t>
      </w:r>
      <w:r>
        <w:rPr>
          <w:rFonts w:hint="default" w:ascii="Times New Roman" w:hAnsi="Times New Roman" w:eastAsia="仿宋_GB2312" w:cs="Times New Roman"/>
          <w:sz w:val="32"/>
          <w:szCs w:val="32"/>
          <w:lang w:val="en"/>
        </w:rPr>
        <w:t>9</w:t>
      </w:r>
      <w:r>
        <w:rPr>
          <w:rFonts w:hint="default" w:ascii="Times New Roman" w:hAnsi="Times New Roman" w:eastAsia="仿宋_GB2312" w:cs="Times New Roman"/>
          <w:sz w:val="32"/>
          <w:szCs w:val="32"/>
        </w:rPr>
        <w:t xml:space="preserve"> 月 </w:t>
      </w:r>
      <w:r>
        <w:rPr>
          <w:rFonts w:hint="default" w:ascii="Times New Roman" w:hAnsi="Times New Roman" w:eastAsia="仿宋_GB2312" w:cs="Times New Roman"/>
          <w:sz w:val="32"/>
          <w:szCs w:val="32"/>
          <w:lang w:val="en"/>
        </w:rPr>
        <w:t>11</w:t>
      </w:r>
      <w:bookmarkStart w:id="128" w:name="_GoBack"/>
      <w:bookmarkEnd w:id="128"/>
      <w:r>
        <w:rPr>
          <w:rFonts w:hint="default" w:ascii="Times New Roman" w:hAnsi="Times New Roman" w:eastAsia="仿宋_GB2312" w:cs="Times New Roman"/>
          <w:sz w:val="32"/>
          <w:szCs w:val="32"/>
        </w:rPr>
        <w:t xml:space="preserve"> 日</w:t>
      </w:r>
    </w:p>
    <w:p>
      <w:pPr>
        <w:rPr>
          <w:rFonts w:hint="default" w:ascii="Times New Roman" w:hAnsi="Times New Roman" w:cs="Times New Roman"/>
        </w:rPr>
      </w:pPr>
    </w:p>
    <w:sdt>
      <w:sdtPr>
        <w:rPr>
          <w:rFonts w:hint="default" w:ascii="Times New Roman" w:hAnsi="Times New Roman" w:eastAsia="宋体" w:cs="Times New Roman"/>
          <w:kern w:val="2"/>
          <w:sz w:val="21"/>
          <w:szCs w:val="24"/>
          <w:lang w:val="en-US" w:eastAsia="zh-CN" w:bidi="ar-SA"/>
        </w:rPr>
        <w:id w:val="147469397"/>
        <w:docPartObj>
          <w:docPartGallery w:val="Table of Contents"/>
          <w:docPartUnique/>
        </w:docPartObj>
      </w:sdtPr>
      <w:sdtEndPr>
        <w:rPr>
          <w:rFonts w:hint="default" w:ascii="Times New Roman" w:hAnsi="Times New Roman" w:eastAsia="宋体" w:cs="Times New Roman"/>
          <w:kern w:val="2"/>
          <w:sz w:val="20"/>
          <w:szCs w:val="20"/>
          <w:lang w:val="en-US" w:eastAsia="zh-CN" w:bidi="ar-SA"/>
        </w:rPr>
      </w:sdtEndPr>
      <w:sdtContent>
        <w:p>
          <w:pPr>
            <w:pStyle w:val="12"/>
            <w:adjustRightInd w:val="0"/>
            <w:snapToGrid w:val="0"/>
            <w:spacing w:before="0" w:line="560" w:lineRule="exact"/>
            <w:jc w:val="left"/>
            <w:rPr>
              <w:rFonts w:hint="default" w:ascii="Times New Roman" w:hAnsi="Times New Roman" w:cs="Times New Roman"/>
            </w:rPr>
          </w:pPr>
          <w:bookmarkStart w:id="12" w:name="_Toc843331563_WPSOffice_Type2"/>
          <w:bookmarkStart w:id="13" w:name="_Toc15377196"/>
          <w:bookmarkStart w:id="14" w:name="_Toc15396599"/>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 HYPERLINK \l _Toc1364835239_WPSOffice_Level1 </w:instrText>
          </w:r>
          <w:r>
            <w:rPr>
              <w:rFonts w:hint="default" w:ascii="Times New Roman" w:hAnsi="Times New Roman" w:eastAsia="黑体" w:cs="Times New Roman"/>
              <w:sz w:val="32"/>
              <w:szCs w:val="32"/>
            </w:rPr>
            <w:fldChar w:fldCharType="separate"/>
          </w:r>
          <w:sdt>
            <w:sdtPr>
              <w:rPr>
                <w:rFonts w:hint="default" w:ascii="Times New Roman" w:hAnsi="Times New Roman" w:eastAsia="黑体" w:cs="Times New Roman"/>
                <w:sz w:val="32"/>
                <w:szCs w:val="32"/>
                <w:lang w:val="en-US" w:eastAsia="zh-CN"/>
              </w:rPr>
              <w:id w:val="506934448"/>
              <w:placeholder>
                <w:docPart w:val="{a18f2295-47b8-4268-857c-582516f39f69}"/>
              </w:placeholder>
            </w:sdtPr>
            <w:sdtEndPr>
              <w:rPr>
                <w:rFonts w:hint="default" w:ascii="Times New Roman" w:hAnsi="Times New Roman" w:eastAsia="黑体" w:cs="Times New Roman"/>
                <w:sz w:val="32"/>
                <w:szCs w:val="32"/>
                <w:lang w:val="en-US" w:eastAsia="zh-CN"/>
              </w:rPr>
            </w:sdtEndPr>
            <w:sdtContent>
              <w:r>
                <w:rPr>
                  <w:rFonts w:hint="default" w:ascii="Times New Roman" w:hAnsi="Times New Roman" w:eastAsia="黑体" w:cs="Times New Roman"/>
                  <w:sz w:val="32"/>
                  <w:szCs w:val="32"/>
                </w:rPr>
                <w:t>第一部分  单位概况</w:t>
              </w:r>
            </w:sdtContent>
          </w:sdt>
          <w:r>
            <w:rPr>
              <w:rFonts w:hint="default" w:ascii="Times New Roman" w:hAnsi="Times New Roman" w:eastAsia="黑体" w:cs="Times New Roman"/>
              <w:sz w:val="32"/>
              <w:szCs w:val="32"/>
            </w:rPr>
            <w:tab/>
          </w:r>
          <w:bookmarkStart w:id="15" w:name="_Toc1364835239_WPSOffice_Level1Page"/>
          <w:r>
            <w:rPr>
              <w:rFonts w:hint="default" w:ascii="Times New Roman" w:hAnsi="Times New Roman" w:eastAsia="黑体" w:cs="Times New Roman"/>
              <w:sz w:val="32"/>
              <w:szCs w:val="32"/>
            </w:rPr>
            <w:t>2</w:t>
          </w:r>
          <w:bookmarkEnd w:id="15"/>
          <w:r>
            <w:rPr>
              <w:rFonts w:hint="default" w:ascii="Times New Roman" w:hAnsi="Times New Roman" w:eastAsia="黑体" w:cs="Times New Roman"/>
              <w:sz w:val="32"/>
              <w:szCs w:val="32"/>
            </w:rPr>
            <w:fldChar w:fldCharType="end"/>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_Toc843331563_WPSOffice_Level2 </w:instrText>
          </w:r>
          <w:r>
            <w:rPr>
              <w:rFonts w:hint="default" w:ascii="Times New Roman" w:hAnsi="Times New Roman" w:eastAsia="仿宋_GB2312" w:cs="Times New Roman"/>
              <w:sz w:val="32"/>
              <w:szCs w:val="32"/>
            </w:rPr>
            <w:fldChar w:fldCharType="separate"/>
          </w:r>
          <w:sdt>
            <w:sdtPr>
              <w:rPr>
                <w:rFonts w:hint="default" w:ascii="Times New Roman" w:hAnsi="Times New Roman" w:eastAsia="仿宋_GB2312" w:cs="Times New Roman"/>
                <w:sz w:val="32"/>
                <w:szCs w:val="32"/>
                <w:lang w:val="en-US" w:eastAsia="zh-CN"/>
              </w:rPr>
              <w:id w:val="147451724"/>
              <w:placeholder>
                <w:docPart w:val="{9bb14b62-3ec5-4507-838a-7560da157ffc}"/>
              </w:placeholder>
            </w:sdtPr>
            <w:sdtEndPr>
              <w:rPr>
                <w:rFonts w:hint="default" w:ascii="Times New Roman" w:hAnsi="Times New Roman" w:eastAsia="仿宋_GB2312" w:cs="Times New Roman"/>
                <w:sz w:val="32"/>
                <w:szCs w:val="32"/>
                <w:lang w:val="en-US" w:eastAsia="zh-CN"/>
              </w:rPr>
            </w:sdtEndPr>
            <w:sdtContent>
              <w:r>
                <w:rPr>
                  <w:rFonts w:hint="default" w:ascii="Times New Roman" w:hAnsi="Times New Roman" w:eastAsia="仿宋_GB2312" w:cs="Times New Roman"/>
                  <w:sz w:val="32"/>
                  <w:szCs w:val="32"/>
                </w:rPr>
                <w:t>一、</w:t>
              </w:r>
              <w:r>
                <w:rPr>
                  <w:rFonts w:hint="default" w:ascii="Times New Roman" w:hAnsi="Times New Roman" w:eastAsia="仿宋_GB2312" w:cs="Times New Roman"/>
                  <w:sz w:val="32"/>
                  <w:szCs w:val="32"/>
                  <w:lang w:eastAsia="zh-CN"/>
                </w:rPr>
                <w:t>主要</w:t>
              </w:r>
              <w:r>
                <w:rPr>
                  <w:rFonts w:hint="default" w:ascii="Times New Roman" w:hAnsi="Times New Roman" w:eastAsia="仿宋_GB2312" w:cs="Times New Roman"/>
                  <w:sz w:val="32"/>
                  <w:szCs w:val="32"/>
                </w:rPr>
                <w:t>职责</w:t>
              </w:r>
            </w:sdtContent>
          </w:sdt>
          <w:r>
            <w:rPr>
              <w:rFonts w:hint="default" w:ascii="Times New Roman" w:hAnsi="Times New Roman" w:eastAsia="仿宋_GB2312" w:cs="Times New Roman"/>
              <w:sz w:val="32"/>
              <w:szCs w:val="32"/>
            </w:rPr>
            <w:tab/>
          </w:r>
          <w:bookmarkStart w:id="16" w:name="_Toc843331563_WPSOffice_Level2Page"/>
          <w:r>
            <w:rPr>
              <w:rFonts w:hint="default" w:ascii="Times New Roman" w:hAnsi="Times New Roman" w:eastAsia="仿宋_GB2312" w:cs="Times New Roman"/>
              <w:sz w:val="32"/>
              <w:szCs w:val="32"/>
            </w:rPr>
            <w:t>2</w:t>
          </w:r>
          <w:bookmarkEnd w:id="16"/>
          <w:r>
            <w:rPr>
              <w:rFonts w:hint="default" w:ascii="Times New Roman" w:hAnsi="Times New Roman" w:eastAsia="仿宋_GB2312" w:cs="Times New Roman"/>
              <w:sz w:val="32"/>
              <w:szCs w:val="32"/>
            </w:rPr>
            <w:fldChar w:fldCharType="end"/>
          </w:r>
        </w:p>
        <w:p>
          <w:pPr>
            <w:pStyle w:val="14"/>
            <w:adjustRightInd w:val="0"/>
            <w:snapToGrid w:val="0"/>
            <w:spacing w:line="560" w:lineRule="exact"/>
            <w:ind w:left="0" w:leftChars="0" w:firstLine="640" w:firstLineChars="200"/>
            <w:jc w:val="left"/>
            <w:rPr>
              <w:rFonts w:hint="default" w:ascii="Times New Roman" w:hAnsi="Times New Roman" w:cs="Times New Roman"/>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_Toc1072541102_WPSOffice_Level2 </w:instrText>
          </w:r>
          <w:r>
            <w:rPr>
              <w:rFonts w:hint="default" w:ascii="Times New Roman" w:hAnsi="Times New Roman" w:eastAsia="仿宋_GB2312" w:cs="Times New Roman"/>
              <w:sz w:val="32"/>
              <w:szCs w:val="32"/>
            </w:rPr>
            <w:fldChar w:fldCharType="separate"/>
          </w:r>
          <w:sdt>
            <w:sdtPr>
              <w:rPr>
                <w:rFonts w:hint="default" w:ascii="Times New Roman" w:hAnsi="Times New Roman" w:eastAsia="仿宋_GB2312" w:cs="Times New Roman"/>
                <w:sz w:val="32"/>
                <w:szCs w:val="32"/>
                <w:lang w:val="en-US" w:eastAsia="zh-CN"/>
              </w:rPr>
              <w:id w:val="147474901"/>
              <w:placeholder>
                <w:docPart w:val="{7dfb9b33-3412-4f99-9d07-97b17ff8e943}"/>
              </w:placeholder>
            </w:sdtPr>
            <w:sdtEndPr>
              <w:rPr>
                <w:rFonts w:hint="default" w:ascii="Times New Roman" w:hAnsi="Times New Roman" w:eastAsia="仿宋_GB2312" w:cs="Times New Roman"/>
                <w:sz w:val="32"/>
                <w:szCs w:val="32"/>
                <w:lang w:val="en-US" w:eastAsia="zh-CN"/>
              </w:rPr>
            </w:sdtEndPr>
            <w:sdtContent>
              <w:r>
                <w:rPr>
                  <w:rFonts w:hint="default" w:ascii="Times New Roman" w:hAnsi="Times New Roman" w:eastAsia="仿宋_GB2312" w:cs="Times New Roman"/>
                  <w:sz w:val="32"/>
                  <w:szCs w:val="32"/>
                </w:rPr>
                <w:t>二、机构设置</w:t>
              </w:r>
            </w:sdtContent>
          </w:sdt>
          <w:r>
            <w:rPr>
              <w:rFonts w:hint="default" w:ascii="Times New Roman" w:hAnsi="Times New Roman" w:eastAsia="仿宋_GB2312" w:cs="Times New Roman"/>
              <w:sz w:val="32"/>
              <w:szCs w:val="32"/>
            </w:rPr>
            <w:tab/>
          </w:r>
          <w:bookmarkStart w:id="17" w:name="_Toc1072541102_WPSOffice_Level2Page"/>
          <w:r>
            <w:rPr>
              <w:rFonts w:hint="default" w:ascii="Times New Roman" w:hAnsi="Times New Roman" w:eastAsia="仿宋_GB2312" w:cs="Times New Roman"/>
              <w:sz w:val="32"/>
              <w:szCs w:val="32"/>
            </w:rPr>
            <w:t>3</w:t>
          </w:r>
          <w:bookmarkEnd w:id="17"/>
          <w:r>
            <w:rPr>
              <w:rFonts w:hint="default" w:ascii="Times New Roman" w:hAnsi="Times New Roman" w:eastAsia="仿宋_GB2312" w:cs="Times New Roman"/>
              <w:sz w:val="32"/>
              <w:szCs w:val="32"/>
            </w:rPr>
            <w:fldChar w:fldCharType="end"/>
          </w:r>
        </w:p>
        <w:p>
          <w:pPr>
            <w:pStyle w:val="36"/>
            <w:tabs>
              <w:tab w:val="right" w:leader="dot" w:pos="8306"/>
            </w:tabs>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fldChar w:fldCharType="begin"/>
          </w:r>
          <w:r>
            <w:rPr>
              <w:rFonts w:hint="default" w:ascii="Times New Roman" w:hAnsi="Times New Roman" w:eastAsia="黑体" w:cs="Times New Roman"/>
              <w:kern w:val="2"/>
              <w:sz w:val="32"/>
              <w:szCs w:val="32"/>
              <w:lang w:val="en-US" w:eastAsia="zh-CN" w:bidi="ar-SA"/>
            </w:rPr>
            <w:instrText xml:space="preserve"> HYPERLINK \l _Toc843331563_WPSOffice_Level1 </w:instrText>
          </w:r>
          <w:r>
            <w:rPr>
              <w:rFonts w:hint="default" w:ascii="Times New Roman" w:hAnsi="Times New Roman" w:eastAsia="黑体" w:cs="Times New Roman"/>
              <w:kern w:val="2"/>
              <w:sz w:val="32"/>
              <w:szCs w:val="32"/>
              <w:lang w:val="en-US" w:eastAsia="zh-CN" w:bidi="ar-SA"/>
            </w:rPr>
            <w:fldChar w:fldCharType="separate"/>
          </w:r>
          <w:sdt>
            <w:sdtPr>
              <w:rPr>
                <w:rFonts w:hint="default" w:ascii="Times New Roman" w:hAnsi="Times New Roman" w:eastAsia="黑体" w:cs="Times New Roman"/>
                <w:kern w:val="2"/>
                <w:sz w:val="32"/>
                <w:szCs w:val="32"/>
                <w:lang w:val="en-US" w:eastAsia="zh-CN" w:bidi="ar-SA"/>
              </w:rPr>
              <w:id w:val="147463760"/>
              <w:placeholder>
                <w:docPart w:val="{7310a979-b623-4fad-959e-e0058c67e945}"/>
              </w:placeholder>
            </w:sdtPr>
            <w:sdtEndPr>
              <w:rPr>
                <w:rFonts w:hint="default" w:ascii="Times New Roman" w:hAnsi="Times New Roman" w:eastAsia="黑体" w:cs="Times New Roman"/>
                <w:kern w:val="2"/>
                <w:sz w:val="32"/>
                <w:szCs w:val="32"/>
                <w:lang w:val="en-US" w:eastAsia="zh-CN" w:bidi="ar-SA"/>
              </w:rPr>
            </w:sdtEndPr>
            <w:sdtContent>
              <w:r>
                <w:rPr>
                  <w:rFonts w:hint="default" w:ascii="Times New Roman" w:hAnsi="Times New Roman" w:eastAsia="黑体" w:cs="Times New Roman"/>
                  <w:kern w:val="2"/>
                  <w:sz w:val="32"/>
                  <w:szCs w:val="32"/>
                  <w:lang w:val="en-US" w:eastAsia="zh-CN" w:bidi="ar-SA"/>
                </w:rPr>
                <w:t>第二部分  2025年度部门决算情况说明</w:t>
              </w:r>
            </w:sdtContent>
          </w:sdt>
          <w:r>
            <w:rPr>
              <w:rFonts w:hint="default" w:ascii="Times New Roman" w:hAnsi="Times New Roman" w:eastAsia="黑体" w:cs="Times New Roman"/>
              <w:kern w:val="2"/>
              <w:sz w:val="32"/>
              <w:szCs w:val="32"/>
              <w:lang w:val="en-US" w:eastAsia="zh-CN" w:bidi="ar-SA"/>
            </w:rPr>
            <w:tab/>
          </w:r>
          <w:bookmarkStart w:id="18" w:name="_Toc843331563_WPSOffice_Level1Page"/>
          <w:r>
            <w:rPr>
              <w:rFonts w:hint="default" w:ascii="Times New Roman" w:hAnsi="Times New Roman" w:eastAsia="黑体" w:cs="Times New Roman"/>
              <w:kern w:val="2"/>
              <w:sz w:val="32"/>
              <w:szCs w:val="32"/>
              <w:lang w:val="en-US" w:eastAsia="zh-CN" w:bidi="ar-SA"/>
            </w:rPr>
            <w:t>4</w:t>
          </w:r>
          <w:bookmarkEnd w:id="18"/>
          <w:r>
            <w:rPr>
              <w:rFonts w:hint="default" w:ascii="Times New Roman" w:hAnsi="Times New Roman" w:eastAsia="黑体" w:cs="Times New Roman"/>
              <w:kern w:val="2"/>
              <w:sz w:val="32"/>
              <w:szCs w:val="32"/>
              <w:lang w:val="en-US" w:eastAsia="zh-CN" w:bidi="ar-SA"/>
            </w:rPr>
            <w:fldChar w:fldCharType="end"/>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_Toc1969383725_WPSOffice_Level2 </w:instrText>
          </w:r>
          <w:r>
            <w:rPr>
              <w:rFonts w:hint="default" w:ascii="Times New Roman" w:hAnsi="Times New Roman" w:eastAsia="仿宋_GB2312" w:cs="Times New Roman"/>
              <w:sz w:val="32"/>
              <w:szCs w:val="32"/>
            </w:rPr>
            <w:fldChar w:fldCharType="separate"/>
          </w:r>
          <w:sdt>
            <w:sdtPr>
              <w:rPr>
                <w:rFonts w:hint="default" w:ascii="Times New Roman" w:hAnsi="Times New Roman" w:eastAsia="仿宋_GB2312" w:cs="Times New Roman"/>
                <w:sz w:val="32"/>
                <w:szCs w:val="32"/>
                <w:lang w:val="en-US" w:eastAsia="zh-CN"/>
              </w:rPr>
              <w:id w:val="147472941"/>
              <w:placeholder>
                <w:docPart w:val="{62e4de93-3055-4b8e-ac2e-83a98dbc00b4}"/>
              </w:placeholder>
            </w:sdtPr>
            <w:sdtEndPr>
              <w:rPr>
                <w:rFonts w:hint="default" w:ascii="Times New Roman" w:hAnsi="Times New Roman" w:eastAsia="仿宋_GB2312" w:cs="Times New Roman"/>
                <w:sz w:val="32"/>
                <w:szCs w:val="32"/>
                <w:lang w:val="en-US" w:eastAsia="zh-CN"/>
              </w:rPr>
            </w:sdtEndPr>
            <w:sdtContent>
              <w:r>
                <w:rPr>
                  <w:rFonts w:hint="default" w:ascii="Times New Roman" w:hAnsi="Times New Roman" w:eastAsia="仿宋_GB2312" w:cs="Times New Roman"/>
                  <w:sz w:val="32"/>
                  <w:szCs w:val="32"/>
                </w:rPr>
                <w:t>一、收入支出决算总体情况说明</w:t>
              </w:r>
            </w:sdtContent>
          </w:sdt>
          <w:r>
            <w:rPr>
              <w:rFonts w:hint="default" w:ascii="Times New Roman" w:hAnsi="Times New Roman" w:eastAsia="仿宋_GB2312" w:cs="Times New Roman"/>
              <w:sz w:val="32"/>
              <w:szCs w:val="32"/>
            </w:rPr>
            <w:tab/>
          </w:r>
          <w:bookmarkStart w:id="19" w:name="_Toc1969383725_WPSOffice_Level2Page"/>
          <w:r>
            <w:rPr>
              <w:rFonts w:hint="default" w:ascii="Times New Roman" w:hAnsi="Times New Roman" w:eastAsia="仿宋_GB2312" w:cs="Times New Roman"/>
              <w:sz w:val="32"/>
              <w:szCs w:val="32"/>
            </w:rPr>
            <w:t>4</w:t>
          </w:r>
          <w:bookmarkEnd w:id="19"/>
          <w:r>
            <w:rPr>
              <w:rFonts w:hint="default" w:ascii="Times New Roman" w:hAnsi="Times New Roman" w:eastAsia="仿宋_GB2312" w:cs="Times New Roman"/>
              <w:sz w:val="32"/>
              <w:szCs w:val="32"/>
            </w:rPr>
            <w:fldChar w:fldCharType="end"/>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_Toc1281136866_WPSOffice_Level2 </w:instrText>
          </w:r>
          <w:r>
            <w:rPr>
              <w:rFonts w:hint="default" w:ascii="Times New Roman" w:hAnsi="Times New Roman" w:eastAsia="仿宋_GB2312" w:cs="Times New Roman"/>
              <w:sz w:val="32"/>
              <w:szCs w:val="32"/>
            </w:rPr>
            <w:fldChar w:fldCharType="separate"/>
          </w:r>
          <w:sdt>
            <w:sdtPr>
              <w:rPr>
                <w:rFonts w:hint="default" w:ascii="Times New Roman" w:hAnsi="Times New Roman" w:eastAsia="仿宋_GB2312" w:cs="Times New Roman"/>
                <w:sz w:val="32"/>
                <w:szCs w:val="32"/>
                <w:lang w:val="en-US" w:eastAsia="zh-CN"/>
              </w:rPr>
              <w:id w:val="147474940"/>
              <w:placeholder>
                <w:docPart w:val="{35f11dd3-9e13-4064-8a69-9ce88776f013}"/>
              </w:placeholder>
            </w:sdtPr>
            <w:sdtEndPr>
              <w:rPr>
                <w:rFonts w:hint="default" w:ascii="Times New Roman" w:hAnsi="Times New Roman" w:eastAsia="仿宋_GB2312" w:cs="Times New Roman"/>
                <w:sz w:val="32"/>
                <w:szCs w:val="32"/>
                <w:lang w:val="en-US" w:eastAsia="zh-CN"/>
              </w:rPr>
            </w:sdtEndPr>
            <w:sdtContent>
              <w:r>
                <w:rPr>
                  <w:rFonts w:hint="default" w:ascii="Times New Roman" w:hAnsi="Times New Roman" w:eastAsia="仿宋_GB2312" w:cs="Times New Roman"/>
                  <w:sz w:val="32"/>
                  <w:szCs w:val="32"/>
                </w:rPr>
                <w:t>二、收入决算情况说明</w:t>
              </w:r>
            </w:sdtContent>
          </w:sdt>
          <w:r>
            <w:rPr>
              <w:rFonts w:hint="default" w:ascii="Times New Roman" w:hAnsi="Times New Roman" w:eastAsia="仿宋_GB2312" w:cs="Times New Roman"/>
              <w:sz w:val="32"/>
              <w:szCs w:val="32"/>
            </w:rPr>
            <w:tab/>
          </w:r>
          <w:bookmarkStart w:id="20" w:name="_Toc1281136866_WPSOffice_Level2Page"/>
          <w:r>
            <w:rPr>
              <w:rFonts w:hint="default" w:ascii="Times New Roman" w:hAnsi="Times New Roman" w:eastAsia="仿宋_GB2312" w:cs="Times New Roman"/>
              <w:sz w:val="32"/>
              <w:szCs w:val="32"/>
            </w:rPr>
            <w:t>4</w:t>
          </w:r>
          <w:bookmarkEnd w:id="20"/>
          <w:r>
            <w:rPr>
              <w:rFonts w:hint="default" w:ascii="Times New Roman" w:hAnsi="Times New Roman" w:eastAsia="仿宋_GB2312" w:cs="Times New Roman"/>
              <w:sz w:val="32"/>
              <w:szCs w:val="32"/>
            </w:rPr>
            <w:fldChar w:fldCharType="end"/>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_Toc286338482_WPSOffice_Level2 </w:instrText>
          </w:r>
          <w:r>
            <w:rPr>
              <w:rFonts w:hint="default" w:ascii="Times New Roman" w:hAnsi="Times New Roman" w:eastAsia="仿宋_GB2312" w:cs="Times New Roman"/>
              <w:sz w:val="32"/>
              <w:szCs w:val="32"/>
            </w:rPr>
            <w:fldChar w:fldCharType="separate"/>
          </w:r>
          <w:sdt>
            <w:sdtPr>
              <w:rPr>
                <w:rFonts w:hint="default" w:ascii="Times New Roman" w:hAnsi="Times New Roman" w:eastAsia="仿宋_GB2312" w:cs="Times New Roman"/>
                <w:sz w:val="32"/>
                <w:szCs w:val="32"/>
                <w:lang w:val="en-US" w:eastAsia="zh-CN"/>
              </w:rPr>
              <w:id w:val="147460714"/>
              <w:placeholder>
                <w:docPart w:val="{a57c59cc-89ac-41a6-90a1-c1112aff2c62}"/>
              </w:placeholder>
            </w:sdtPr>
            <w:sdtEndPr>
              <w:rPr>
                <w:rFonts w:hint="default" w:ascii="Times New Roman" w:hAnsi="Times New Roman" w:eastAsia="仿宋_GB2312" w:cs="Times New Roman"/>
                <w:sz w:val="32"/>
                <w:szCs w:val="32"/>
                <w:lang w:val="en-US" w:eastAsia="zh-CN"/>
              </w:rPr>
            </w:sdtEndPr>
            <w:sdtContent>
              <w:r>
                <w:rPr>
                  <w:rFonts w:hint="default" w:ascii="Times New Roman" w:hAnsi="Times New Roman" w:eastAsia="仿宋_GB2312" w:cs="Times New Roman"/>
                  <w:sz w:val="32"/>
                  <w:szCs w:val="32"/>
                </w:rPr>
                <w:t>三、支出决算情况说明</w:t>
              </w:r>
            </w:sdtContent>
          </w:sdt>
          <w:r>
            <w:rPr>
              <w:rFonts w:hint="default" w:ascii="Times New Roman" w:hAnsi="Times New Roman" w:eastAsia="仿宋_GB2312" w:cs="Times New Roman"/>
              <w:sz w:val="32"/>
              <w:szCs w:val="32"/>
            </w:rPr>
            <w:tab/>
          </w:r>
          <w:bookmarkStart w:id="21" w:name="_Toc286338482_WPSOffice_Level2Page"/>
          <w:r>
            <w:rPr>
              <w:rFonts w:hint="default" w:ascii="Times New Roman" w:hAnsi="Times New Roman" w:eastAsia="仿宋_GB2312" w:cs="Times New Roman"/>
              <w:sz w:val="32"/>
              <w:szCs w:val="32"/>
            </w:rPr>
            <w:t>5</w:t>
          </w:r>
          <w:bookmarkEnd w:id="21"/>
          <w:r>
            <w:rPr>
              <w:rFonts w:hint="default" w:ascii="Times New Roman" w:hAnsi="Times New Roman" w:eastAsia="仿宋_GB2312" w:cs="Times New Roman"/>
              <w:sz w:val="32"/>
              <w:szCs w:val="32"/>
            </w:rPr>
            <w:fldChar w:fldCharType="end"/>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_Toc1033722768_WPSOffice_Level2 </w:instrText>
          </w:r>
          <w:r>
            <w:rPr>
              <w:rFonts w:hint="default" w:ascii="Times New Roman" w:hAnsi="Times New Roman" w:eastAsia="仿宋_GB2312" w:cs="Times New Roman"/>
              <w:sz w:val="32"/>
              <w:szCs w:val="32"/>
            </w:rPr>
            <w:fldChar w:fldCharType="separate"/>
          </w:r>
          <w:sdt>
            <w:sdtPr>
              <w:rPr>
                <w:rFonts w:hint="default" w:ascii="Times New Roman" w:hAnsi="Times New Roman" w:eastAsia="仿宋_GB2312" w:cs="Times New Roman"/>
                <w:sz w:val="32"/>
                <w:szCs w:val="32"/>
                <w:lang w:val="en-US" w:eastAsia="zh-CN"/>
              </w:rPr>
              <w:id w:val="147467105"/>
              <w:placeholder>
                <w:docPart w:val="{3069d469-d869-4841-b7c1-9c9f96e89a60}"/>
              </w:placeholder>
            </w:sdtPr>
            <w:sdtEndPr>
              <w:rPr>
                <w:rFonts w:hint="default" w:ascii="Times New Roman" w:hAnsi="Times New Roman" w:eastAsia="仿宋_GB2312" w:cs="Times New Roman"/>
                <w:sz w:val="32"/>
                <w:szCs w:val="32"/>
                <w:lang w:val="en-US" w:eastAsia="zh-CN"/>
              </w:rPr>
            </w:sdtEndPr>
            <w:sdtContent>
              <w:r>
                <w:rPr>
                  <w:rFonts w:hint="default" w:ascii="Times New Roman" w:hAnsi="Times New Roman" w:eastAsia="仿宋_GB2312" w:cs="Times New Roman"/>
                  <w:sz w:val="32"/>
                  <w:szCs w:val="32"/>
                </w:rPr>
                <w:t>四、财政拨款收入支出决算总体情况说明</w:t>
              </w:r>
            </w:sdtContent>
          </w:sdt>
          <w:r>
            <w:rPr>
              <w:rFonts w:hint="default" w:ascii="Times New Roman" w:hAnsi="Times New Roman" w:eastAsia="仿宋_GB2312" w:cs="Times New Roman"/>
              <w:sz w:val="32"/>
              <w:szCs w:val="32"/>
            </w:rPr>
            <w:tab/>
          </w:r>
          <w:bookmarkStart w:id="22" w:name="_Toc1033722768_WPSOffice_Level2Page"/>
          <w:r>
            <w:rPr>
              <w:rFonts w:hint="default" w:ascii="Times New Roman" w:hAnsi="Times New Roman" w:eastAsia="仿宋_GB2312" w:cs="Times New Roman"/>
              <w:sz w:val="32"/>
              <w:szCs w:val="32"/>
            </w:rPr>
            <w:t>6</w:t>
          </w:r>
          <w:bookmarkEnd w:id="22"/>
          <w:r>
            <w:rPr>
              <w:rFonts w:hint="default" w:ascii="Times New Roman" w:hAnsi="Times New Roman" w:eastAsia="仿宋_GB2312" w:cs="Times New Roman"/>
              <w:sz w:val="32"/>
              <w:szCs w:val="32"/>
            </w:rPr>
            <w:fldChar w:fldCharType="end"/>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_Toc1259999295_WPSOffice_Level2 </w:instrText>
          </w:r>
          <w:r>
            <w:rPr>
              <w:rFonts w:hint="default" w:ascii="Times New Roman" w:hAnsi="Times New Roman" w:eastAsia="仿宋_GB2312" w:cs="Times New Roman"/>
              <w:sz w:val="32"/>
              <w:szCs w:val="32"/>
            </w:rPr>
            <w:fldChar w:fldCharType="separate"/>
          </w:r>
          <w:sdt>
            <w:sdtPr>
              <w:rPr>
                <w:rFonts w:hint="default" w:ascii="Times New Roman" w:hAnsi="Times New Roman" w:eastAsia="仿宋_GB2312" w:cs="Times New Roman"/>
                <w:sz w:val="32"/>
                <w:szCs w:val="32"/>
                <w:lang w:val="en-US" w:eastAsia="zh-CN"/>
              </w:rPr>
              <w:id w:val="147461193"/>
              <w:placeholder>
                <w:docPart w:val="{4604492c-ff8c-44c9-8c55-ef35849b40d7}"/>
              </w:placeholder>
            </w:sdtPr>
            <w:sdtEndPr>
              <w:rPr>
                <w:rFonts w:hint="default" w:ascii="Times New Roman" w:hAnsi="Times New Roman" w:eastAsia="仿宋_GB2312" w:cs="Times New Roman"/>
                <w:sz w:val="32"/>
                <w:szCs w:val="32"/>
                <w:lang w:val="en-US" w:eastAsia="zh-CN"/>
              </w:rPr>
            </w:sdtEndPr>
            <w:sdtContent>
              <w:r>
                <w:rPr>
                  <w:rFonts w:hint="default" w:ascii="Times New Roman" w:hAnsi="Times New Roman" w:eastAsia="仿宋_GB2312" w:cs="Times New Roman"/>
                  <w:sz w:val="32"/>
                  <w:szCs w:val="32"/>
                </w:rPr>
                <w:t>五、一般公共预算财政拨款支出决算情况说明</w:t>
              </w:r>
            </w:sdtContent>
          </w:sdt>
          <w:r>
            <w:rPr>
              <w:rFonts w:hint="default" w:ascii="Times New Roman" w:hAnsi="Times New Roman" w:eastAsia="仿宋_GB2312" w:cs="Times New Roman"/>
              <w:sz w:val="32"/>
              <w:szCs w:val="32"/>
            </w:rPr>
            <w:tab/>
          </w:r>
          <w:bookmarkStart w:id="23" w:name="_Toc1259999295_WPSOffice_Level2Page"/>
          <w:r>
            <w:rPr>
              <w:rFonts w:hint="default" w:ascii="Times New Roman" w:hAnsi="Times New Roman" w:eastAsia="仿宋_GB2312" w:cs="Times New Roman"/>
              <w:sz w:val="32"/>
              <w:szCs w:val="32"/>
            </w:rPr>
            <w:t>6</w:t>
          </w:r>
          <w:bookmarkEnd w:id="23"/>
          <w:r>
            <w:rPr>
              <w:rFonts w:hint="default" w:ascii="Times New Roman" w:hAnsi="Times New Roman" w:eastAsia="仿宋_GB2312" w:cs="Times New Roman"/>
              <w:sz w:val="32"/>
              <w:szCs w:val="32"/>
            </w:rPr>
            <w:fldChar w:fldCharType="end"/>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_Toc1995564654_WPSOffice_Level2 </w:instrText>
          </w:r>
          <w:r>
            <w:rPr>
              <w:rFonts w:hint="default" w:ascii="Times New Roman" w:hAnsi="Times New Roman" w:eastAsia="仿宋_GB2312" w:cs="Times New Roman"/>
              <w:sz w:val="32"/>
              <w:szCs w:val="32"/>
            </w:rPr>
            <w:fldChar w:fldCharType="separate"/>
          </w:r>
          <w:sdt>
            <w:sdtPr>
              <w:rPr>
                <w:rFonts w:hint="default" w:ascii="Times New Roman" w:hAnsi="Times New Roman" w:eastAsia="仿宋_GB2312" w:cs="Times New Roman"/>
                <w:sz w:val="32"/>
                <w:szCs w:val="32"/>
                <w:lang w:val="en-US" w:eastAsia="zh-CN"/>
              </w:rPr>
              <w:id w:val="147480190"/>
              <w:placeholder>
                <w:docPart w:val="{b0fb4f56-8c2d-4d0f-883e-3ab0122bc9b5}"/>
              </w:placeholder>
            </w:sdtPr>
            <w:sdtEndPr>
              <w:rPr>
                <w:rFonts w:hint="default" w:ascii="Times New Roman" w:hAnsi="Times New Roman" w:eastAsia="仿宋_GB2312" w:cs="Times New Roman"/>
                <w:sz w:val="32"/>
                <w:szCs w:val="32"/>
                <w:lang w:val="en-US" w:eastAsia="zh-CN"/>
              </w:rPr>
            </w:sdtEndPr>
            <w:sdtContent>
              <w:r>
                <w:rPr>
                  <w:rFonts w:hint="default" w:ascii="Times New Roman" w:hAnsi="Times New Roman" w:eastAsia="仿宋_GB2312" w:cs="Times New Roman"/>
                  <w:sz w:val="32"/>
                  <w:szCs w:val="32"/>
                </w:rPr>
                <w:t>六、一般公共预算财政拨款基本支出决算情况说明</w:t>
              </w:r>
            </w:sdtContent>
          </w:sdt>
          <w:r>
            <w:rPr>
              <w:rFonts w:hint="default" w:ascii="Times New Roman" w:hAnsi="Times New Roman" w:eastAsia="仿宋_GB2312" w:cs="Times New Roman"/>
              <w:sz w:val="32"/>
              <w:szCs w:val="32"/>
            </w:rPr>
            <w:tab/>
          </w:r>
          <w:bookmarkStart w:id="24" w:name="_Toc1995564654_WPSOffice_Level2Page"/>
          <w:r>
            <w:rPr>
              <w:rFonts w:hint="default" w:ascii="Times New Roman" w:hAnsi="Times New Roman" w:eastAsia="仿宋_GB2312" w:cs="Times New Roman"/>
              <w:sz w:val="32"/>
              <w:szCs w:val="32"/>
            </w:rPr>
            <w:t>9</w:t>
          </w:r>
          <w:bookmarkEnd w:id="24"/>
          <w:r>
            <w:rPr>
              <w:rFonts w:hint="default" w:ascii="Times New Roman" w:hAnsi="Times New Roman" w:eastAsia="仿宋_GB2312" w:cs="Times New Roman"/>
              <w:sz w:val="32"/>
              <w:szCs w:val="32"/>
            </w:rPr>
            <w:fldChar w:fldCharType="end"/>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_Toc532329220_WPSOffice_Level2 </w:instrText>
          </w:r>
          <w:r>
            <w:rPr>
              <w:rFonts w:hint="default" w:ascii="Times New Roman" w:hAnsi="Times New Roman" w:eastAsia="仿宋_GB2312" w:cs="Times New Roman"/>
              <w:sz w:val="32"/>
              <w:szCs w:val="32"/>
            </w:rPr>
            <w:fldChar w:fldCharType="separate"/>
          </w:r>
          <w:sdt>
            <w:sdtPr>
              <w:rPr>
                <w:rFonts w:hint="default" w:ascii="Times New Roman" w:hAnsi="Times New Roman" w:eastAsia="仿宋_GB2312" w:cs="Times New Roman"/>
                <w:sz w:val="32"/>
                <w:szCs w:val="32"/>
                <w:lang w:val="en-US" w:eastAsia="zh-CN"/>
              </w:rPr>
              <w:id w:val="147476520"/>
              <w:placeholder>
                <w:docPart w:val="{9842dd82-d316-4602-ba79-75fb29a9cb9d}"/>
              </w:placeholder>
            </w:sdtPr>
            <w:sdtEndPr>
              <w:rPr>
                <w:rFonts w:hint="default" w:ascii="Times New Roman" w:hAnsi="Times New Roman" w:eastAsia="仿宋_GB2312" w:cs="Times New Roman"/>
                <w:sz w:val="32"/>
                <w:szCs w:val="32"/>
                <w:lang w:val="en-US" w:eastAsia="zh-CN"/>
              </w:rPr>
            </w:sdtEndPr>
            <w:sdtContent>
              <w:r>
                <w:rPr>
                  <w:rFonts w:hint="default" w:ascii="Times New Roman" w:hAnsi="Times New Roman" w:eastAsia="仿宋_GB2312" w:cs="Times New Roman"/>
                  <w:sz w:val="32"/>
                  <w:szCs w:val="32"/>
                </w:rPr>
                <w:t>七、财政拨款“三公”经费支出决算情况说明</w:t>
              </w:r>
            </w:sdtContent>
          </w:sdt>
          <w:r>
            <w:rPr>
              <w:rFonts w:hint="default" w:ascii="Times New Roman" w:hAnsi="Times New Roman" w:eastAsia="仿宋_GB2312" w:cs="Times New Roman"/>
              <w:sz w:val="32"/>
              <w:szCs w:val="32"/>
            </w:rPr>
            <w:tab/>
          </w:r>
          <w:bookmarkStart w:id="25" w:name="_Toc532329220_WPSOffice_Level2Page"/>
          <w:r>
            <w:rPr>
              <w:rFonts w:hint="default" w:ascii="Times New Roman" w:hAnsi="Times New Roman" w:eastAsia="仿宋_GB2312" w:cs="Times New Roman"/>
              <w:sz w:val="32"/>
              <w:szCs w:val="32"/>
            </w:rPr>
            <w:t>10</w:t>
          </w:r>
          <w:bookmarkEnd w:id="25"/>
          <w:r>
            <w:rPr>
              <w:rFonts w:hint="default" w:ascii="Times New Roman" w:hAnsi="Times New Roman" w:eastAsia="仿宋_GB2312" w:cs="Times New Roman"/>
              <w:sz w:val="32"/>
              <w:szCs w:val="32"/>
            </w:rPr>
            <w:fldChar w:fldCharType="end"/>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_Toc864269712_WPSOffice_Level2 </w:instrText>
          </w:r>
          <w:r>
            <w:rPr>
              <w:rFonts w:hint="default" w:ascii="Times New Roman" w:hAnsi="Times New Roman" w:eastAsia="仿宋_GB2312" w:cs="Times New Roman"/>
              <w:sz w:val="32"/>
              <w:szCs w:val="32"/>
            </w:rPr>
            <w:fldChar w:fldCharType="separate"/>
          </w:r>
          <w:sdt>
            <w:sdtPr>
              <w:rPr>
                <w:rFonts w:hint="default" w:ascii="Times New Roman" w:hAnsi="Times New Roman" w:eastAsia="仿宋_GB2312" w:cs="Times New Roman"/>
                <w:sz w:val="32"/>
                <w:szCs w:val="32"/>
                <w:lang w:val="en-US" w:eastAsia="zh-CN"/>
              </w:rPr>
              <w:id w:val="147467547"/>
              <w:placeholder>
                <w:docPart w:val="{e64b0aaf-3bac-4692-b71b-5e9ea095b096}"/>
              </w:placeholder>
            </w:sdtPr>
            <w:sdtEndPr>
              <w:rPr>
                <w:rFonts w:hint="default" w:ascii="Times New Roman" w:hAnsi="Times New Roman" w:eastAsia="仿宋_GB2312" w:cs="Times New Roman"/>
                <w:sz w:val="32"/>
                <w:szCs w:val="32"/>
                <w:lang w:val="en-US" w:eastAsia="zh-CN"/>
              </w:rPr>
            </w:sdtEndPr>
            <w:sdtContent>
              <w:r>
                <w:rPr>
                  <w:rFonts w:hint="default" w:ascii="Times New Roman" w:hAnsi="Times New Roman" w:eastAsia="仿宋_GB2312" w:cs="Times New Roman"/>
                  <w:sz w:val="32"/>
                  <w:szCs w:val="32"/>
                </w:rPr>
                <w:t>八、政府性基金预算支出决算情况说明</w:t>
              </w:r>
            </w:sdtContent>
          </w:sdt>
          <w:r>
            <w:rPr>
              <w:rFonts w:hint="default" w:ascii="Times New Roman" w:hAnsi="Times New Roman" w:eastAsia="仿宋_GB2312" w:cs="Times New Roman"/>
              <w:sz w:val="32"/>
              <w:szCs w:val="32"/>
            </w:rPr>
            <w:tab/>
          </w:r>
          <w:bookmarkStart w:id="26" w:name="_Toc864269712_WPSOffice_Level2Page"/>
          <w:r>
            <w:rPr>
              <w:rFonts w:hint="default" w:ascii="Times New Roman" w:hAnsi="Times New Roman" w:eastAsia="仿宋_GB2312" w:cs="Times New Roman"/>
              <w:sz w:val="32"/>
              <w:szCs w:val="32"/>
            </w:rPr>
            <w:t>12</w:t>
          </w:r>
          <w:bookmarkEnd w:id="26"/>
          <w:r>
            <w:rPr>
              <w:rFonts w:hint="default" w:ascii="Times New Roman" w:hAnsi="Times New Roman" w:eastAsia="仿宋_GB2312" w:cs="Times New Roman"/>
              <w:sz w:val="32"/>
              <w:szCs w:val="32"/>
            </w:rPr>
            <w:fldChar w:fldCharType="end"/>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_Toc1641155463_WPSOffice_Level2 </w:instrText>
          </w:r>
          <w:r>
            <w:rPr>
              <w:rFonts w:hint="default" w:ascii="Times New Roman" w:hAnsi="Times New Roman" w:eastAsia="仿宋_GB2312" w:cs="Times New Roman"/>
              <w:sz w:val="32"/>
              <w:szCs w:val="32"/>
            </w:rPr>
            <w:fldChar w:fldCharType="separate"/>
          </w:r>
          <w:sdt>
            <w:sdtPr>
              <w:rPr>
                <w:rFonts w:hint="default" w:ascii="Times New Roman" w:hAnsi="Times New Roman" w:eastAsia="仿宋_GB2312" w:cs="Times New Roman"/>
                <w:sz w:val="32"/>
                <w:szCs w:val="32"/>
                <w:lang w:val="en-US" w:eastAsia="zh-CN"/>
              </w:rPr>
              <w:id w:val="147478528"/>
              <w:placeholder>
                <w:docPart w:val="{179bffac-3941-4664-ad0a-e7c6f3d94ff9}"/>
              </w:placeholder>
            </w:sdtPr>
            <w:sdtEndPr>
              <w:rPr>
                <w:rFonts w:hint="default" w:ascii="Times New Roman" w:hAnsi="Times New Roman" w:eastAsia="仿宋_GB2312" w:cs="Times New Roman"/>
                <w:sz w:val="32"/>
                <w:szCs w:val="32"/>
                <w:lang w:val="en-US" w:eastAsia="zh-CN"/>
              </w:rPr>
            </w:sdtEndPr>
            <w:sdtContent>
              <w:r>
                <w:rPr>
                  <w:rFonts w:hint="default" w:ascii="Times New Roman" w:hAnsi="Times New Roman" w:eastAsia="仿宋_GB2312" w:cs="Times New Roman"/>
                  <w:sz w:val="32"/>
                  <w:szCs w:val="32"/>
                </w:rPr>
                <w:t>九、国有资本经营预算支出决算情况说明</w:t>
              </w:r>
            </w:sdtContent>
          </w:sdt>
          <w:r>
            <w:rPr>
              <w:rFonts w:hint="default" w:ascii="Times New Roman" w:hAnsi="Times New Roman" w:eastAsia="仿宋_GB2312" w:cs="Times New Roman"/>
              <w:sz w:val="32"/>
              <w:szCs w:val="32"/>
            </w:rPr>
            <w:tab/>
          </w:r>
          <w:bookmarkStart w:id="27" w:name="_Toc1641155463_WPSOffice_Level2Page"/>
          <w:r>
            <w:rPr>
              <w:rFonts w:hint="default" w:ascii="Times New Roman" w:hAnsi="Times New Roman" w:eastAsia="仿宋_GB2312" w:cs="Times New Roman"/>
              <w:sz w:val="32"/>
              <w:szCs w:val="32"/>
            </w:rPr>
            <w:t>12</w:t>
          </w:r>
          <w:bookmarkEnd w:id="27"/>
          <w:r>
            <w:rPr>
              <w:rFonts w:hint="default" w:ascii="Times New Roman" w:hAnsi="Times New Roman" w:eastAsia="仿宋_GB2312" w:cs="Times New Roman"/>
              <w:sz w:val="32"/>
              <w:szCs w:val="32"/>
            </w:rPr>
            <w:fldChar w:fldCharType="end"/>
          </w:r>
        </w:p>
        <w:p>
          <w:pPr>
            <w:pStyle w:val="14"/>
            <w:adjustRightInd w:val="0"/>
            <w:snapToGrid w:val="0"/>
            <w:spacing w:line="560" w:lineRule="exact"/>
            <w:ind w:left="0" w:leftChars="0" w:firstLine="640" w:firstLineChars="200"/>
            <w:jc w:val="left"/>
            <w:rPr>
              <w:rFonts w:hint="default" w:ascii="Times New Roman" w:hAnsi="Times New Roman" w:cs="Times New Roman"/>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_Toc1961125836_WPSOffice_Level2 </w:instrText>
          </w:r>
          <w:r>
            <w:rPr>
              <w:rFonts w:hint="default" w:ascii="Times New Roman" w:hAnsi="Times New Roman" w:eastAsia="仿宋_GB2312" w:cs="Times New Roman"/>
              <w:sz w:val="32"/>
              <w:szCs w:val="32"/>
            </w:rPr>
            <w:fldChar w:fldCharType="separate"/>
          </w:r>
          <w:sdt>
            <w:sdtPr>
              <w:rPr>
                <w:rFonts w:hint="default" w:ascii="Times New Roman" w:hAnsi="Times New Roman" w:eastAsia="仿宋_GB2312" w:cs="Times New Roman"/>
                <w:sz w:val="32"/>
                <w:szCs w:val="32"/>
                <w:lang w:val="en-US" w:eastAsia="zh-CN"/>
              </w:rPr>
              <w:id w:val="147475303"/>
              <w:placeholder>
                <w:docPart w:val="{06e66436-4c4c-4ac9-b637-d5d328399da4}"/>
              </w:placeholder>
            </w:sdtPr>
            <w:sdtEndPr>
              <w:rPr>
                <w:rFonts w:hint="default" w:ascii="Times New Roman" w:hAnsi="Times New Roman" w:eastAsia="仿宋_GB2312" w:cs="Times New Roman"/>
                <w:sz w:val="32"/>
                <w:szCs w:val="32"/>
                <w:lang w:val="en-US" w:eastAsia="zh-CN"/>
              </w:rPr>
            </w:sdtEndPr>
            <w:sdtContent>
              <w:r>
                <w:rPr>
                  <w:rFonts w:hint="default" w:ascii="Times New Roman" w:hAnsi="Times New Roman" w:eastAsia="仿宋_GB2312" w:cs="Times New Roman"/>
                  <w:sz w:val="32"/>
                  <w:szCs w:val="32"/>
                </w:rPr>
                <w:t>十、其他重要事项的情况说明</w:t>
              </w:r>
            </w:sdtContent>
          </w:sdt>
          <w:r>
            <w:rPr>
              <w:rFonts w:hint="default" w:ascii="Times New Roman" w:hAnsi="Times New Roman" w:eastAsia="仿宋_GB2312" w:cs="Times New Roman"/>
              <w:sz w:val="32"/>
              <w:szCs w:val="32"/>
            </w:rPr>
            <w:tab/>
          </w:r>
          <w:bookmarkStart w:id="28" w:name="_Toc1961125836_WPSOffice_Level2Page"/>
          <w:r>
            <w:rPr>
              <w:rFonts w:hint="default" w:ascii="Times New Roman" w:hAnsi="Times New Roman" w:eastAsia="仿宋_GB2312" w:cs="Times New Roman"/>
              <w:sz w:val="32"/>
              <w:szCs w:val="32"/>
            </w:rPr>
            <w:t>13</w:t>
          </w:r>
          <w:bookmarkEnd w:id="28"/>
          <w:r>
            <w:rPr>
              <w:rFonts w:hint="default" w:ascii="Times New Roman" w:hAnsi="Times New Roman" w:eastAsia="仿宋_GB2312" w:cs="Times New Roman"/>
              <w:sz w:val="32"/>
              <w:szCs w:val="32"/>
            </w:rPr>
            <w:fldChar w:fldCharType="end"/>
          </w:r>
        </w:p>
        <w:p>
          <w:pPr>
            <w:pStyle w:val="36"/>
            <w:tabs>
              <w:tab w:val="right" w:leader="dot" w:pos="8306"/>
            </w:tabs>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fldChar w:fldCharType="begin"/>
          </w:r>
          <w:r>
            <w:rPr>
              <w:rFonts w:hint="default" w:ascii="Times New Roman" w:hAnsi="Times New Roman" w:eastAsia="黑体" w:cs="Times New Roman"/>
              <w:kern w:val="2"/>
              <w:sz w:val="32"/>
              <w:szCs w:val="32"/>
              <w:lang w:val="en-US" w:eastAsia="zh-CN" w:bidi="ar-SA"/>
            </w:rPr>
            <w:instrText xml:space="preserve"> HYPERLINK \l _Toc1072541102_WPSOffice_Level1 </w:instrText>
          </w:r>
          <w:r>
            <w:rPr>
              <w:rFonts w:hint="default" w:ascii="Times New Roman" w:hAnsi="Times New Roman" w:eastAsia="黑体" w:cs="Times New Roman"/>
              <w:kern w:val="2"/>
              <w:sz w:val="32"/>
              <w:szCs w:val="32"/>
              <w:lang w:val="en-US" w:eastAsia="zh-CN" w:bidi="ar-SA"/>
            </w:rPr>
            <w:fldChar w:fldCharType="separate"/>
          </w:r>
          <w:sdt>
            <w:sdtPr>
              <w:rPr>
                <w:rFonts w:hint="default" w:ascii="Times New Roman" w:hAnsi="Times New Roman" w:eastAsia="黑体" w:cs="Times New Roman"/>
                <w:kern w:val="2"/>
                <w:sz w:val="32"/>
                <w:szCs w:val="32"/>
                <w:lang w:val="en-US" w:eastAsia="zh-CN" w:bidi="ar-SA"/>
              </w:rPr>
              <w:id w:val="147466496"/>
              <w:placeholder>
                <w:docPart w:val="{25607a46-0203-4d29-bbc9-e98108e64afa}"/>
              </w:placeholder>
            </w:sdtPr>
            <w:sdtEndPr>
              <w:rPr>
                <w:rFonts w:hint="default" w:ascii="Times New Roman" w:hAnsi="Times New Roman" w:eastAsia="黑体" w:cs="Times New Roman"/>
                <w:kern w:val="2"/>
                <w:sz w:val="32"/>
                <w:szCs w:val="32"/>
                <w:lang w:val="en-US" w:eastAsia="zh-CN" w:bidi="ar-SA"/>
              </w:rPr>
            </w:sdtEndPr>
            <w:sdtContent>
              <w:r>
                <w:rPr>
                  <w:rFonts w:hint="default" w:ascii="Times New Roman" w:hAnsi="Times New Roman" w:eastAsia="黑体" w:cs="Times New Roman"/>
                  <w:kern w:val="2"/>
                  <w:sz w:val="32"/>
                  <w:szCs w:val="32"/>
                  <w:lang w:val="en-US" w:eastAsia="zh-CN" w:bidi="ar-SA"/>
                </w:rPr>
                <w:t>第三部分  名词解释</w:t>
              </w:r>
            </w:sdtContent>
          </w:sdt>
          <w:r>
            <w:rPr>
              <w:rFonts w:hint="default" w:ascii="Times New Roman" w:hAnsi="Times New Roman" w:eastAsia="黑体" w:cs="Times New Roman"/>
              <w:kern w:val="2"/>
              <w:sz w:val="32"/>
              <w:szCs w:val="32"/>
              <w:lang w:val="en-US" w:eastAsia="zh-CN" w:bidi="ar-SA"/>
            </w:rPr>
            <w:tab/>
          </w:r>
          <w:bookmarkStart w:id="29" w:name="_Toc1072541102_WPSOffice_Level1Page"/>
          <w:r>
            <w:rPr>
              <w:rFonts w:hint="default" w:ascii="Times New Roman" w:hAnsi="Times New Roman" w:eastAsia="黑体" w:cs="Times New Roman"/>
              <w:kern w:val="2"/>
              <w:sz w:val="32"/>
              <w:szCs w:val="32"/>
              <w:lang w:val="en-US" w:eastAsia="zh-CN" w:bidi="ar-SA"/>
            </w:rPr>
            <w:t>15</w:t>
          </w:r>
          <w:bookmarkEnd w:id="29"/>
          <w:r>
            <w:rPr>
              <w:rFonts w:hint="default" w:ascii="Times New Roman" w:hAnsi="Times New Roman" w:eastAsia="黑体" w:cs="Times New Roman"/>
              <w:kern w:val="2"/>
              <w:sz w:val="32"/>
              <w:szCs w:val="32"/>
              <w:lang w:val="en-US" w:eastAsia="zh-CN" w:bidi="ar-SA"/>
            </w:rPr>
            <w:fldChar w:fldCharType="end"/>
          </w:r>
        </w:p>
        <w:p>
          <w:pPr>
            <w:pStyle w:val="36"/>
            <w:tabs>
              <w:tab w:val="right" w:leader="dot" w:pos="8306"/>
            </w:tabs>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fldChar w:fldCharType="begin"/>
          </w:r>
          <w:r>
            <w:rPr>
              <w:rFonts w:hint="default" w:ascii="Times New Roman" w:hAnsi="Times New Roman" w:eastAsia="黑体" w:cs="Times New Roman"/>
              <w:kern w:val="2"/>
              <w:sz w:val="32"/>
              <w:szCs w:val="32"/>
              <w:lang w:val="en-US" w:eastAsia="zh-CN" w:bidi="ar-SA"/>
            </w:rPr>
            <w:instrText xml:space="preserve"> HYPERLINK \l _Toc1969383725_WPSOffice_Level1 </w:instrText>
          </w:r>
          <w:r>
            <w:rPr>
              <w:rFonts w:hint="default" w:ascii="Times New Roman" w:hAnsi="Times New Roman" w:eastAsia="黑体" w:cs="Times New Roman"/>
              <w:kern w:val="2"/>
              <w:sz w:val="32"/>
              <w:szCs w:val="32"/>
              <w:lang w:val="en-US" w:eastAsia="zh-CN" w:bidi="ar-SA"/>
            </w:rPr>
            <w:fldChar w:fldCharType="separate"/>
          </w:r>
          <w:sdt>
            <w:sdtPr>
              <w:rPr>
                <w:rFonts w:hint="default" w:ascii="Times New Roman" w:hAnsi="Times New Roman" w:eastAsia="黑体" w:cs="Times New Roman"/>
                <w:kern w:val="2"/>
                <w:sz w:val="32"/>
                <w:szCs w:val="32"/>
                <w:lang w:val="en-US" w:eastAsia="zh-CN" w:bidi="ar-SA"/>
              </w:rPr>
              <w:id w:val="147451032"/>
              <w:placeholder>
                <w:docPart w:val="{afbeedf1-41cd-41c7-830a-4e50998cc57d}"/>
              </w:placeholder>
            </w:sdtPr>
            <w:sdtEndPr>
              <w:rPr>
                <w:rFonts w:hint="default" w:ascii="Times New Roman" w:hAnsi="Times New Roman" w:eastAsia="黑体" w:cs="Times New Roman"/>
                <w:kern w:val="2"/>
                <w:sz w:val="32"/>
                <w:szCs w:val="32"/>
                <w:lang w:val="en-US" w:eastAsia="zh-CN" w:bidi="ar-SA"/>
              </w:rPr>
            </w:sdtEndPr>
            <w:sdtContent>
              <w:r>
                <w:rPr>
                  <w:rFonts w:hint="default" w:ascii="Times New Roman" w:hAnsi="Times New Roman" w:eastAsia="黑体" w:cs="Times New Roman"/>
                  <w:kern w:val="2"/>
                  <w:sz w:val="32"/>
                  <w:szCs w:val="32"/>
                  <w:lang w:val="en-US" w:eastAsia="zh-CN" w:bidi="ar-SA"/>
                </w:rPr>
                <w:t>第四部分  附件</w:t>
              </w:r>
            </w:sdtContent>
          </w:sdt>
          <w:r>
            <w:rPr>
              <w:rFonts w:hint="default" w:ascii="Times New Roman" w:hAnsi="Times New Roman" w:eastAsia="黑体" w:cs="Times New Roman"/>
              <w:kern w:val="2"/>
              <w:sz w:val="32"/>
              <w:szCs w:val="32"/>
              <w:lang w:val="en-US" w:eastAsia="zh-CN" w:bidi="ar-SA"/>
            </w:rPr>
            <w:tab/>
          </w:r>
          <w:bookmarkStart w:id="30" w:name="_Toc1969383725_WPSOffice_Level1Page"/>
          <w:r>
            <w:rPr>
              <w:rFonts w:hint="default" w:ascii="Times New Roman" w:hAnsi="Times New Roman" w:eastAsia="黑体" w:cs="Times New Roman"/>
              <w:kern w:val="2"/>
              <w:sz w:val="32"/>
              <w:szCs w:val="32"/>
              <w:lang w:val="en-US" w:eastAsia="zh-CN" w:bidi="ar-SA"/>
            </w:rPr>
            <w:t>18</w:t>
          </w:r>
          <w:bookmarkEnd w:id="30"/>
          <w:r>
            <w:rPr>
              <w:rFonts w:hint="default" w:ascii="Times New Roman" w:hAnsi="Times New Roman" w:eastAsia="黑体" w:cs="Times New Roman"/>
              <w:kern w:val="2"/>
              <w:sz w:val="32"/>
              <w:szCs w:val="32"/>
              <w:lang w:val="en-US" w:eastAsia="zh-CN" w:bidi="ar-SA"/>
            </w:rPr>
            <w:fldChar w:fldCharType="end"/>
          </w:r>
        </w:p>
        <w:p>
          <w:pPr>
            <w:pStyle w:val="36"/>
            <w:tabs>
              <w:tab w:val="right" w:leader="dot" w:pos="8306"/>
            </w:tabs>
            <w:rPr>
              <w:rFonts w:hint="default" w:ascii="Times New Roman" w:hAnsi="Times New Roman" w:cs="Times New Roman"/>
            </w:rPr>
          </w:pPr>
          <w:r>
            <w:rPr>
              <w:rFonts w:hint="default" w:ascii="Times New Roman" w:hAnsi="Times New Roman" w:eastAsia="黑体" w:cs="Times New Roman"/>
              <w:kern w:val="2"/>
              <w:sz w:val="32"/>
              <w:szCs w:val="32"/>
              <w:lang w:val="en-US" w:eastAsia="zh-CN" w:bidi="ar-SA"/>
            </w:rPr>
            <w:fldChar w:fldCharType="begin"/>
          </w:r>
          <w:r>
            <w:rPr>
              <w:rFonts w:hint="default" w:ascii="Times New Roman" w:hAnsi="Times New Roman" w:eastAsia="黑体" w:cs="Times New Roman"/>
              <w:kern w:val="2"/>
              <w:sz w:val="32"/>
              <w:szCs w:val="32"/>
              <w:lang w:val="en-US" w:eastAsia="zh-CN" w:bidi="ar-SA"/>
            </w:rPr>
            <w:instrText xml:space="preserve"> HYPERLINK \l _Toc1281136866_WPSOffice_Level1 </w:instrText>
          </w:r>
          <w:r>
            <w:rPr>
              <w:rFonts w:hint="default" w:ascii="Times New Roman" w:hAnsi="Times New Roman" w:eastAsia="黑体" w:cs="Times New Roman"/>
              <w:kern w:val="2"/>
              <w:sz w:val="32"/>
              <w:szCs w:val="32"/>
              <w:lang w:val="en-US" w:eastAsia="zh-CN" w:bidi="ar-SA"/>
            </w:rPr>
            <w:fldChar w:fldCharType="separate"/>
          </w:r>
          <w:sdt>
            <w:sdtPr>
              <w:rPr>
                <w:rFonts w:hint="default" w:ascii="Times New Roman" w:hAnsi="Times New Roman" w:eastAsia="黑体" w:cs="Times New Roman"/>
                <w:kern w:val="2"/>
                <w:sz w:val="32"/>
                <w:szCs w:val="32"/>
                <w:lang w:val="en-US" w:eastAsia="zh-CN" w:bidi="ar-SA"/>
              </w:rPr>
              <w:id w:val="147472693"/>
              <w:placeholder>
                <w:docPart w:val="{d2858bfb-94e9-4462-acda-27474371dfed}"/>
              </w:placeholder>
            </w:sdtPr>
            <w:sdtEndPr>
              <w:rPr>
                <w:rFonts w:hint="default" w:ascii="Times New Roman" w:hAnsi="Times New Roman" w:eastAsia="黑体" w:cs="Times New Roman"/>
                <w:kern w:val="2"/>
                <w:sz w:val="32"/>
                <w:szCs w:val="32"/>
                <w:lang w:val="en-US" w:eastAsia="zh-CN" w:bidi="ar-SA"/>
              </w:rPr>
            </w:sdtEndPr>
            <w:sdtContent>
              <w:r>
                <w:rPr>
                  <w:rFonts w:hint="default" w:ascii="Times New Roman" w:hAnsi="Times New Roman" w:eastAsia="黑体" w:cs="Times New Roman"/>
                  <w:kern w:val="2"/>
                  <w:sz w:val="32"/>
                  <w:szCs w:val="32"/>
                  <w:lang w:val="en-US" w:eastAsia="zh-CN" w:bidi="ar-SA"/>
                </w:rPr>
                <w:t>第五部分 附表</w:t>
              </w:r>
            </w:sdtContent>
          </w:sdt>
          <w:r>
            <w:rPr>
              <w:rFonts w:hint="default" w:ascii="Times New Roman" w:hAnsi="Times New Roman" w:eastAsia="黑体" w:cs="Times New Roman"/>
              <w:kern w:val="2"/>
              <w:sz w:val="32"/>
              <w:szCs w:val="32"/>
              <w:lang w:val="en-US" w:eastAsia="zh-CN" w:bidi="ar-SA"/>
            </w:rPr>
            <w:tab/>
          </w:r>
          <w:bookmarkStart w:id="31" w:name="_Toc1281136866_WPSOffice_Level1Page"/>
          <w:r>
            <w:rPr>
              <w:rFonts w:hint="default" w:ascii="Times New Roman" w:hAnsi="Times New Roman" w:eastAsia="黑体" w:cs="Times New Roman"/>
              <w:kern w:val="2"/>
              <w:sz w:val="32"/>
              <w:szCs w:val="32"/>
              <w:lang w:val="en-US" w:eastAsia="zh-CN" w:bidi="ar-SA"/>
            </w:rPr>
            <w:t>19</w:t>
          </w:r>
          <w:bookmarkEnd w:id="31"/>
          <w:r>
            <w:rPr>
              <w:rFonts w:hint="default" w:ascii="Times New Roman" w:hAnsi="Times New Roman" w:eastAsia="黑体" w:cs="Times New Roman"/>
              <w:kern w:val="2"/>
              <w:sz w:val="32"/>
              <w:szCs w:val="32"/>
              <w:lang w:val="en-US" w:eastAsia="zh-CN" w:bidi="ar-SA"/>
            </w:rPr>
            <w:fldChar w:fldCharType="end"/>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_Toc491660522_WPSOffice_Level2 </w:instrText>
          </w:r>
          <w:r>
            <w:rPr>
              <w:rFonts w:hint="default" w:ascii="Times New Roman" w:hAnsi="Times New Roman" w:eastAsia="仿宋_GB2312" w:cs="Times New Roman"/>
              <w:sz w:val="32"/>
              <w:szCs w:val="32"/>
            </w:rPr>
            <w:fldChar w:fldCharType="separate"/>
          </w:r>
          <w:sdt>
            <w:sdtPr>
              <w:rPr>
                <w:rFonts w:hint="default" w:ascii="Times New Roman" w:hAnsi="Times New Roman" w:eastAsia="仿宋_GB2312" w:cs="Times New Roman"/>
                <w:sz w:val="32"/>
                <w:szCs w:val="32"/>
                <w:lang w:val="en-US" w:eastAsia="zh-CN"/>
              </w:rPr>
              <w:id w:val="147457921"/>
              <w:placeholder>
                <w:docPart w:val="{4e4aba8f-79bf-41c3-83ed-17528771ee6e}"/>
              </w:placeholder>
            </w:sdtPr>
            <w:sdtEndPr>
              <w:rPr>
                <w:rFonts w:hint="default" w:ascii="Times New Roman" w:hAnsi="Times New Roman" w:eastAsia="仿宋_GB2312" w:cs="Times New Roman"/>
                <w:sz w:val="32"/>
                <w:szCs w:val="32"/>
                <w:lang w:val="en-US" w:eastAsia="zh-CN"/>
              </w:rPr>
            </w:sdtEndPr>
            <w:sdtContent>
              <w:r>
                <w:rPr>
                  <w:rFonts w:hint="default" w:ascii="Times New Roman" w:hAnsi="Times New Roman" w:eastAsia="仿宋_GB2312" w:cs="Times New Roman"/>
                  <w:sz w:val="32"/>
                  <w:szCs w:val="32"/>
                </w:rPr>
                <w:t>一、收入支出决算总表</w:t>
              </w:r>
            </w:sdtContent>
          </w:sdt>
          <w:r>
            <w:rPr>
              <w:rFonts w:hint="default" w:ascii="Times New Roman" w:hAnsi="Times New Roman" w:eastAsia="仿宋_GB2312" w:cs="Times New Roman"/>
              <w:sz w:val="32"/>
              <w:szCs w:val="32"/>
            </w:rPr>
            <w:tab/>
          </w:r>
          <w:bookmarkStart w:id="32" w:name="_Toc491660522_WPSOffice_Level2Page"/>
          <w:r>
            <w:rPr>
              <w:rFonts w:hint="default" w:ascii="Times New Roman" w:hAnsi="Times New Roman" w:eastAsia="仿宋_GB2312" w:cs="Times New Roman"/>
              <w:sz w:val="32"/>
              <w:szCs w:val="32"/>
            </w:rPr>
            <w:t>19</w:t>
          </w:r>
          <w:bookmarkEnd w:id="32"/>
          <w:r>
            <w:rPr>
              <w:rFonts w:hint="default" w:ascii="Times New Roman" w:hAnsi="Times New Roman" w:eastAsia="仿宋_GB2312" w:cs="Times New Roman"/>
              <w:sz w:val="32"/>
              <w:szCs w:val="32"/>
            </w:rPr>
            <w:fldChar w:fldCharType="end"/>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_Toc1239140214_WPSOffice_Level2 </w:instrText>
          </w:r>
          <w:r>
            <w:rPr>
              <w:rFonts w:hint="default" w:ascii="Times New Roman" w:hAnsi="Times New Roman" w:eastAsia="仿宋_GB2312" w:cs="Times New Roman"/>
              <w:sz w:val="32"/>
              <w:szCs w:val="32"/>
            </w:rPr>
            <w:fldChar w:fldCharType="separate"/>
          </w:r>
          <w:sdt>
            <w:sdtPr>
              <w:rPr>
                <w:rFonts w:hint="default" w:ascii="Times New Roman" w:hAnsi="Times New Roman" w:eastAsia="仿宋_GB2312" w:cs="Times New Roman"/>
                <w:sz w:val="32"/>
                <w:szCs w:val="32"/>
                <w:lang w:val="en-US" w:eastAsia="zh-CN"/>
              </w:rPr>
              <w:id w:val="147472708"/>
              <w:placeholder>
                <w:docPart w:val="{f1faae17-e0fc-4475-b423-c83a9ab1c6d5}"/>
              </w:placeholder>
            </w:sdtPr>
            <w:sdtEndPr>
              <w:rPr>
                <w:rFonts w:hint="default" w:ascii="Times New Roman" w:hAnsi="Times New Roman" w:eastAsia="仿宋_GB2312" w:cs="Times New Roman"/>
                <w:sz w:val="32"/>
                <w:szCs w:val="32"/>
                <w:lang w:val="en-US" w:eastAsia="zh-CN"/>
              </w:rPr>
            </w:sdtEndPr>
            <w:sdtContent>
              <w:r>
                <w:rPr>
                  <w:rFonts w:hint="default" w:ascii="Times New Roman" w:hAnsi="Times New Roman" w:eastAsia="仿宋_GB2312" w:cs="Times New Roman"/>
                  <w:sz w:val="32"/>
                  <w:szCs w:val="32"/>
                </w:rPr>
                <w:t>二、收入决算表</w:t>
              </w:r>
            </w:sdtContent>
          </w:sdt>
          <w:r>
            <w:rPr>
              <w:rFonts w:hint="default" w:ascii="Times New Roman" w:hAnsi="Times New Roman" w:eastAsia="仿宋_GB2312" w:cs="Times New Roman"/>
              <w:sz w:val="32"/>
              <w:szCs w:val="32"/>
            </w:rPr>
            <w:tab/>
          </w:r>
          <w:bookmarkStart w:id="33" w:name="_Toc1239140214_WPSOffice_Level2Page"/>
          <w:r>
            <w:rPr>
              <w:rFonts w:hint="default" w:ascii="Times New Roman" w:hAnsi="Times New Roman" w:eastAsia="仿宋_GB2312" w:cs="Times New Roman"/>
              <w:sz w:val="32"/>
              <w:szCs w:val="32"/>
            </w:rPr>
            <w:t>19</w:t>
          </w:r>
          <w:bookmarkEnd w:id="33"/>
          <w:r>
            <w:rPr>
              <w:rFonts w:hint="default" w:ascii="Times New Roman" w:hAnsi="Times New Roman" w:eastAsia="仿宋_GB2312" w:cs="Times New Roman"/>
              <w:sz w:val="32"/>
              <w:szCs w:val="32"/>
            </w:rPr>
            <w:fldChar w:fldCharType="end"/>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_Toc1037498216_WPSOffice_Level2 </w:instrText>
          </w:r>
          <w:r>
            <w:rPr>
              <w:rFonts w:hint="default" w:ascii="Times New Roman" w:hAnsi="Times New Roman" w:eastAsia="仿宋_GB2312" w:cs="Times New Roman"/>
              <w:sz w:val="32"/>
              <w:szCs w:val="32"/>
            </w:rPr>
            <w:fldChar w:fldCharType="separate"/>
          </w:r>
          <w:sdt>
            <w:sdtPr>
              <w:rPr>
                <w:rFonts w:hint="default" w:ascii="Times New Roman" w:hAnsi="Times New Roman" w:eastAsia="仿宋_GB2312" w:cs="Times New Roman"/>
                <w:sz w:val="32"/>
                <w:szCs w:val="32"/>
                <w:lang w:val="en-US" w:eastAsia="zh-CN"/>
              </w:rPr>
              <w:id w:val="147464918"/>
              <w:placeholder>
                <w:docPart w:val="{031d32f5-df2f-44f7-803c-2934fcc045c2}"/>
              </w:placeholder>
            </w:sdtPr>
            <w:sdtEndPr>
              <w:rPr>
                <w:rFonts w:hint="default" w:ascii="Times New Roman" w:hAnsi="Times New Roman" w:eastAsia="仿宋_GB2312" w:cs="Times New Roman"/>
                <w:sz w:val="32"/>
                <w:szCs w:val="32"/>
                <w:lang w:val="en-US" w:eastAsia="zh-CN"/>
              </w:rPr>
            </w:sdtEndPr>
            <w:sdtContent>
              <w:r>
                <w:rPr>
                  <w:rFonts w:hint="default" w:ascii="Times New Roman" w:hAnsi="Times New Roman" w:eastAsia="仿宋_GB2312" w:cs="Times New Roman"/>
                  <w:sz w:val="32"/>
                  <w:szCs w:val="32"/>
                </w:rPr>
                <w:t>三、支出决算表</w:t>
              </w:r>
            </w:sdtContent>
          </w:sdt>
          <w:r>
            <w:rPr>
              <w:rFonts w:hint="default" w:ascii="Times New Roman" w:hAnsi="Times New Roman" w:eastAsia="仿宋_GB2312" w:cs="Times New Roman"/>
              <w:sz w:val="32"/>
              <w:szCs w:val="32"/>
            </w:rPr>
            <w:tab/>
          </w:r>
          <w:bookmarkStart w:id="34" w:name="_Toc1037498216_WPSOffice_Level2Page"/>
          <w:r>
            <w:rPr>
              <w:rFonts w:hint="default" w:ascii="Times New Roman" w:hAnsi="Times New Roman" w:eastAsia="仿宋_GB2312" w:cs="Times New Roman"/>
              <w:sz w:val="32"/>
              <w:szCs w:val="32"/>
            </w:rPr>
            <w:t>19</w:t>
          </w:r>
          <w:bookmarkEnd w:id="34"/>
          <w:r>
            <w:rPr>
              <w:rFonts w:hint="default" w:ascii="Times New Roman" w:hAnsi="Times New Roman" w:eastAsia="仿宋_GB2312" w:cs="Times New Roman"/>
              <w:sz w:val="32"/>
              <w:szCs w:val="32"/>
            </w:rPr>
            <w:fldChar w:fldCharType="end"/>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sectPr>
              <w:footerReference r:id="rId7" w:type="first"/>
              <w:footerReference r:id="rId6" w:type="default"/>
              <w:pgSz w:w="11906" w:h="16838"/>
              <w:pgMar w:top="1440" w:right="1800" w:bottom="1440" w:left="1800" w:header="851" w:footer="992" w:gutter="0"/>
              <w:pgNumType w:fmt="decimal" w:start="1"/>
              <w:cols w:space="425" w:num="1"/>
              <w:docGrid w:type="lines" w:linePitch="312" w:charSpace="0"/>
            </w:sectPr>
          </w:pP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_Toc1501906232_WPSOffice_Level2 </w:instrText>
          </w:r>
          <w:r>
            <w:rPr>
              <w:rFonts w:hint="default" w:ascii="Times New Roman" w:hAnsi="Times New Roman" w:eastAsia="仿宋_GB2312" w:cs="Times New Roman"/>
              <w:sz w:val="32"/>
              <w:szCs w:val="32"/>
            </w:rPr>
            <w:fldChar w:fldCharType="separate"/>
          </w:r>
          <w:sdt>
            <w:sdtPr>
              <w:rPr>
                <w:rFonts w:hint="default" w:ascii="Times New Roman" w:hAnsi="Times New Roman" w:eastAsia="仿宋_GB2312" w:cs="Times New Roman"/>
                <w:sz w:val="32"/>
                <w:szCs w:val="32"/>
                <w:lang w:val="en-US" w:eastAsia="zh-CN"/>
              </w:rPr>
              <w:id w:val="147452703"/>
              <w:placeholder>
                <w:docPart w:val="{d8c3c246-449f-4de4-8563-ba586e5cd349}"/>
              </w:placeholder>
            </w:sdtPr>
            <w:sdtEndPr>
              <w:rPr>
                <w:rFonts w:hint="default" w:ascii="Times New Roman" w:hAnsi="Times New Roman" w:eastAsia="仿宋_GB2312" w:cs="Times New Roman"/>
                <w:sz w:val="32"/>
                <w:szCs w:val="32"/>
                <w:lang w:val="en-US" w:eastAsia="zh-CN"/>
              </w:rPr>
            </w:sdtEndPr>
            <w:sdtContent>
              <w:r>
                <w:rPr>
                  <w:rFonts w:hint="default" w:ascii="Times New Roman" w:hAnsi="Times New Roman" w:eastAsia="仿宋_GB2312" w:cs="Times New Roman"/>
                  <w:sz w:val="32"/>
                  <w:szCs w:val="32"/>
                </w:rPr>
                <w:t>四、财政拨款收入支出决算总表</w:t>
              </w:r>
            </w:sdtContent>
          </w:sdt>
          <w:r>
            <w:rPr>
              <w:rFonts w:hint="default" w:ascii="Times New Roman" w:hAnsi="Times New Roman" w:eastAsia="仿宋_GB2312" w:cs="Times New Roman"/>
              <w:sz w:val="32"/>
              <w:szCs w:val="32"/>
            </w:rPr>
            <w:tab/>
          </w:r>
          <w:bookmarkStart w:id="35" w:name="_Toc1501906232_WPSOffice_Level2Page"/>
          <w:r>
            <w:rPr>
              <w:rFonts w:hint="default" w:ascii="Times New Roman" w:hAnsi="Times New Roman" w:eastAsia="仿宋_GB2312" w:cs="Times New Roman"/>
              <w:sz w:val="32"/>
              <w:szCs w:val="32"/>
            </w:rPr>
            <w:t>19</w:t>
          </w:r>
          <w:bookmarkEnd w:id="35"/>
          <w:r>
            <w:rPr>
              <w:rFonts w:hint="default" w:ascii="Times New Roman" w:hAnsi="Times New Roman" w:eastAsia="仿宋_GB2312" w:cs="Times New Roman"/>
              <w:sz w:val="32"/>
              <w:szCs w:val="32"/>
            </w:rPr>
            <w:fldChar w:fldCharType="end"/>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_Toc1210576988_WPSOffice_Level2 </w:instrText>
          </w:r>
          <w:r>
            <w:rPr>
              <w:rFonts w:hint="default" w:ascii="Times New Roman" w:hAnsi="Times New Roman" w:eastAsia="仿宋_GB2312" w:cs="Times New Roman"/>
              <w:sz w:val="32"/>
              <w:szCs w:val="32"/>
            </w:rPr>
            <w:fldChar w:fldCharType="separate"/>
          </w:r>
          <w:sdt>
            <w:sdtPr>
              <w:rPr>
                <w:rFonts w:hint="default" w:ascii="Times New Roman" w:hAnsi="Times New Roman" w:eastAsia="仿宋_GB2312" w:cs="Times New Roman"/>
                <w:sz w:val="32"/>
                <w:szCs w:val="32"/>
                <w:lang w:val="en-US" w:eastAsia="zh-CN"/>
              </w:rPr>
              <w:id w:val="147455641"/>
              <w:placeholder>
                <w:docPart w:val="{9e4810a6-7bac-44bb-a446-8be25fb6b10b}"/>
              </w:placeholder>
            </w:sdtPr>
            <w:sdtEndPr>
              <w:rPr>
                <w:rFonts w:hint="default" w:ascii="Times New Roman" w:hAnsi="Times New Roman" w:eastAsia="仿宋_GB2312" w:cs="Times New Roman"/>
                <w:sz w:val="32"/>
                <w:szCs w:val="32"/>
                <w:lang w:val="en-US" w:eastAsia="zh-CN"/>
              </w:rPr>
            </w:sdtEndPr>
            <w:sdtContent>
              <w:r>
                <w:rPr>
                  <w:rFonts w:hint="default" w:ascii="Times New Roman" w:hAnsi="Times New Roman" w:eastAsia="仿宋_GB2312" w:cs="Times New Roman"/>
                  <w:sz w:val="32"/>
                  <w:szCs w:val="32"/>
                </w:rPr>
                <w:t>五、财政拨款支出决算明细表</w:t>
              </w:r>
            </w:sdtContent>
          </w:sdt>
          <w:r>
            <w:rPr>
              <w:rFonts w:hint="default" w:ascii="Times New Roman" w:hAnsi="Times New Roman" w:eastAsia="仿宋_GB2312" w:cs="Times New Roman"/>
              <w:sz w:val="32"/>
              <w:szCs w:val="32"/>
            </w:rPr>
            <w:tab/>
          </w:r>
          <w:bookmarkStart w:id="36" w:name="_Toc1210576988_WPSOffice_Level2Page"/>
          <w:r>
            <w:rPr>
              <w:rFonts w:hint="default" w:ascii="Times New Roman" w:hAnsi="Times New Roman" w:eastAsia="仿宋_GB2312" w:cs="Times New Roman"/>
              <w:sz w:val="32"/>
              <w:szCs w:val="32"/>
            </w:rPr>
            <w:t>19</w:t>
          </w:r>
          <w:bookmarkEnd w:id="36"/>
          <w:r>
            <w:rPr>
              <w:rFonts w:hint="default" w:ascii="Times New Roman" w:hAnsi="Times New Roman" w:eastAsia="仿宋_GB2312" w:cs="Times New Roman"/>
              <w:sz w:val="32"/>
              <w:szCs w:val="32"/>
            </w:rPr>
            <w:fldChar w:fldCharType="end"/>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_Toc678734862_WPSOffice_Level2 </w:instrText>
          </w:r>
          <w:r>
            <w:rPr>
              <w:rFonts w:hint="default" w:ascii="Times New Roman" w:hAnsi="Times New Roman" w:eastAsia="仿宋_GB2312" w:cs="Times New Roman"/>
              <w:sz w:val="32"/>
              <w:szCs w:val="32"/>
            </w:rPr>
            <w:fldChar w:fldCharType="separate"/>
          </w:r>
          <w:sdt>
            <w:sdtPr>
              <w:rPr>
                <w:rFonts w:hint="default" w:ascii="Times New Roman" w:hAnsi="Times New Roman" w:eastAsia="仿宋_GB2312" w:cs="Times New Roman"/>
                <w:sz w:val="32"/>
                <w:szCs w:val="32"/>
                <w:lang w:val="en-US" w:eastAsia="zh-CN"/>
              </w:rPr>
              <w:id w:val="147461439"/>
              <w:placeholder>
                <w:docPart w:val="{0005b331-744a-4c1d-9fe0-4f4a38588a74}"/>
              </w:placeholder>
            </w:sdtPr>
            <w:sdtEndPr>
              <w:rPr>
                <w:rFonts w:hint="default" w:ascii="Times New Roman" w:hAnsi="Times New Roman" w:eastAsia="仿宋_GB2312" w:cs="Times New Roman"/>
                <w:sz w:val="32"/>
                <w:szCs w:val="32"/>
                <w:lang w:val="en-US" w:eastAsia="zh-CN"/>
              </w:rPr>
            </w:sdtEndPr>
            <w:sdtContent>
              <w:r>
                <w:rPr>
                  <w:rFonts w:hint="default" w:ascii="Times New Roman" w:hAnsi="Times New Roman" w:eastAsia="仿宋_GB2312" w:cs="Times New Roman"/>
                  <w:sz w:val="32"/>
                  <w:szCs w:val="32"/>
                </w:rPr>
                <w:t>六、一般公共预算财政拨款支出决算表</w:t>
              </w:r>
            </w:sdtContent>
          </w:sdt>
          <w:r>
            <w:rPr>
              <w:rFonts w:hint="default" w:ascii="Times New Roman" w:hAnsi="Times New Roman" w:eastAsia="仿宋_GB2312" w:cs="Times New Roman"/>
              <w:sz w:val="32"/>
              <w:szCs w:val="32"/>
            </w:rPr>
            <w:tab/>
          </w:r>
          <w:bookmarkStart w:id="37" w:name="_Toc678734862_WPSOffice_Level2Page"/>
          <w:r>
            <w:rPr>
              <w:rFonts w:hint="default" w:ascii="Times New Roman" w:hAnsi="Times New Roman" w:eastAsia="仿宋_GB2312" w:cs="Times New Roman"/>
              <w:sz w:val="32"/>
              <w:szCs w:val="32"/>
            </w:rPr>
            <w:t>19</w:t>
          </w:r>
          <w:bookmarkEnd w:id="37"/>
          <w:r>
            <w:rPr>
              <w:rFonts w:hint="default" w:ascii="Times New Roman" w:hAnsi="Times New Roman" w:eastAsia="仿宋_GB2312" w:cs="Times New Roman"/>
              <w:sz w:val="32"/>
              <w:szCs w:val="32"/>
            </w:rPr>
            <w:fldChar w:fldCharType="end"/>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_Toc2136385039_WPSOffice_Level2 </w:instrText>
          </w:r>
          <w:r>
            <w:rPr>
              <w:rFonts w:hint="default" w:ascii="Times New Roman" w:hAnsi="Times New Roman" w:eastAsia="仿宋_GB2312" w:cs="Times New Roman"/>
              <w:sz w:val="32"/>
              <w:szCs w:val="32"/>
            </w:rPr>
            <w:fldChar w:fldCharType="separate"/>
          </w:r>
          <w:sdt>
            <w:sdtPr>
              <w:rPr>
                <w:rFonts w:hint="default" w:ascii="Times New Roman" w:hAnsi="Times New Roman" w:eastAsia="仿宋_GB2312" w:cs="Times New Roman"/>
                <w:sz w:val="32"/>
                <w:szCs w:val="32"/>
                <w:lang w:val="en-US" w:eastAsia="zh-CN"/>
              </w:rPr>
              <w:id w:val="147479522"/>
              <w:placeholder>
                <w:docPart w:val="{b7f2bbe8-c3e1-4167-aa4f-40c1a08b7956}"/>
              </w:placeholder>
            </w:sdtPr>
            <w:sdtEndPr>
              <w:rPr>
                <w:rFonts w:hint="default" w:ascii="Times New Roman" w:hAnsi="Times New Roman" w:eastAsia="仿宋_GB2312" w:cs="Times New Roman"/>
                <w:sz w:val="32"/>
                <w:szCs w:val="32"/>
                <w:lang w:val="en-US" w:eastAsia="zh-CN"/>
              </w:rPr>
            </w:sdtEndPr>
            <w:sdtContent>
              <w:r>
                <w:rPr>
                  <w:rFonts w:hint="default" w:ascii="Times New Roman" w:hAnsi="Times New Roman" w:eastAsia="仿宋_GB2312" w:cs="Times New Roman"/>
                  <w:sz w:val="32"/>
                  <w:szCs w:val="32"/>
                </w:rPr>
                <w:t>七、一般公共预算财政拨款支出决算明细表</w:t>
              </w:r>
            </w:sdtContent>
          </w:sdt>
          <w:r>
            <w:rPr>
              <w:rFonts w:hint="default" w:ascii="Times New Roman" w:hAnsi="Times New Roman" w:eastAsia="仿宋_GB2312" w:cs="Times New Roman"/>
              <w:sz w:val="32"/>
              <w:szCs w:val="32"/>
            </w:rPr>
            <w:tab/>
          </w:r>
          <w:bookmarkStart w:id="38" w:name="_Toc2136385039_WPSOffice_Level2Page"/>
          <w:r>
            <w:rPr>
              <w:rFonts w:hint="default" w:ascii="Times New Roman" w:hAnsi="Times New Roman" w:eastAsia="仿宋_GB2312" w:cs="Times New Roman"/>
              <w:sz w:val="32"/>
              <w:szCs w:val="32"/>
            </w:rPr>
            <w:t>19</w:t>
          </w:r>
          <w:bookmarkEnd w:id="38"/>
          <w:r>
            <w:rPr>
              <w:rFonts w:hint="default" w:ascii="Times New Roman" w:hAnsi="Times New Roman" w:eastAsia="仿宋_GB2312" w:cs="Times New Roman"/>
              <w:sz w:val="32"/>
              <w:szCs w:val="32"/>
            </w:rPr>
            <w:fldChar w:fldCharType="end"/>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_Toc1394688059_WPSOffice_Level2 </w:instrText>
          </w:r>
          <w:r>
            <w:rPr>
              <w:rFonts w:hint="default" w:ascii="Times New Roman" w:hAnsi="Times New Roman" w:eastAsia="仿宋_GB2312" w:cs="Times New Roman"/>
              <w:sz w:val="32"/>
              <w:szCs w:val="32"/>
            </w:rPr>
            <w:fldChar w:fldCharType="separate"/>
          </w:r>
          <w:sdt>
            <w:sdtPr>
              <w:rPr>
                <w:rFonts w:hint="default" w:ascii="Times New Roman" w:hAnsi="Times New Roman" w:eastAsia="仿宋_GB2312" w:cs="Times New Roman"/>
                <w:sz w:val="32"/>
                <w:szCs w:val="32"/>
                <w:lang w:val="en-US" w:eastAsia="zh-CN"/>
              </w:rPr>
              <w:id w:val="147457733"/>
              <w:placeholder>
                <w:docPart w:val="{f6cd04ce-9ec8-4ecd-bd81-9148a2e2fd0c}"/>
              </w:placeholder>
            </w:sdtPr>
            <w:sdtEndPr>
              <w:rPr>
                <w:rFonts w:hint="default" w:ascii="Times New Roman" w:hAnsi="Times New Roman" w:eastAsia="仿宋_GB2312" w:cs="Times New Roman"/>
                <w:sz w:val="32"/>
                <w:szCs w:val="32"/>
                <w:lang w:val="en-US" w:eastAsia="zh-CN"/>
              </w:rPr>
            </w:sdtEndPr>
            <w:sdtContent>
              <w:r>
                <w:rPr>
                  <w:rFonts w:hint="default" w:ascii="Times New Roman" w:hAnsi="Times New Roman" w:eastAsia="仿宋_GB2312" w:cs="Times New Roman"/>
                  <w:sz w:val="32"/>
                  <w:szCs w:val="32"/>
                </w:rPr>
                <w:t>八、一般公共预算财政拨款基本支出决算表</w:t>
              </w:r>
            </w:sdtContent>
          </w:sdt>
          <w:r>
            <w:rPr>
              <w:rFonts w:hint="default" w:ascii="Times New Roman" w:hAnsi="Times New Roman" w:eastAsia="仿宋_GB2312" w:cs="Times New Roman"/>
              <w:sz w:val="32"/>
              <w:szCs w:val="32"/>
            </w:rPr>
            <w:tab/>
          </w:r>
          <w:bookmarkStart w:id="39" w:name="_Toc1394688059_WPSOffice_Level2Page"/>
          <w:r>
            <w:rPr>
              <w:rFonts w:hint="default" w:ascii="Times New Roman" w:hAnsi="Times New Roman" w:eastAsia="仿宋_GB2312" w:cs="Times New Roman"/>
              <w:sz w:val="32"/>
              <w:szCs w:val="32"/>
            </w:rPr>
            <w:t>19</w:t>
          </w:r>
          <w:bookmarkEnd w:id="39"/>
          <w:r>
            <w:rPr>
              <w:rFonts w:hint="default" w:ascii="Times New Roman" w:hAnsi="Times New Roman" w:eastAsia="仿宋_GB2312" w:cs="Times New Roman"/>
              <w:sz w:val="32"/>
              <w:szCs w:val="32"/>
            </w:rPr>
            <w:fldChar w:fldCharType="end"/>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_Toc86779450_WPSOffice_Level2 </w:instrText>
          </w:r>
          <w:r>
            <w:rPr>
              <w:rFonts w:hint="default" w:ascii="Times New Roman" w:hAnsi="Times New Roman" w:eastAsia="仿宋_GB2312" w:cs="Times New Roman"/>
              <w:sz w:val="32"/>
              <w:szCs w:val="32"/>
            </w:rPr>
            <w:fldChar w:fldCharType="separate"/>
          </w:r>
          <w:sdt>
            <w:sdtPr>
              <w:rPr>
                <w:rFonts w:hint="default" w:ascii="Times New Roman" w:hAnsi="Times New Roman" w:eastAsia="仿宋_GB2312" w:cs="Times New Roman"/>
                <w:sz w:val="32"/>
                <w:szCs w:val="32"/>
                <w:lang w:val="en-US" w:eastAsia="zh-CN"/>
              </w:rPr>
              <w:id w:val="147451399"/>
              <w:placeholder>
                <w:docPart w:val="{7c1e541b-f7d0-4d19-a2ce-cc0cf982858a}"/>
              </w:placeholder>
            </w:sdtPr>
            <w:sdtEndPr>
              <w:rPr>
                <w:rFonts w:hint="default" w:ascii="Times New Roman" w:hAnsi="Times New Roman" w:eastAsia="仿宋_GB2312" w:cs="Times New Roman"/>
                <w:sz w:val="32"/>
                <w:szCs w:val="32"/>
                <w:lang w:val="en-US" w:eastAsia="zh-CN"/>
              </w:rPr>
            </w:sdtEndPr>
            <w:sdtContent>
              <w:r>
                <w:rPr>
                  <w:rFonts w:hint="default" w:ascii="Times New Roman" w:hAnsi="Times New Roman" w:eastAsia="仿宋_GB2312" w:cs="Times New Roman"/>
                  <w:sz w:val="32"/>
                  <w:szCs w:val="32"/>
                </w:rPr>
                <w:t>九、一般公共预算财政拨款项目支出决算表</w:t>
              </w:r>
            </w:sdtContent>
          </w:sdt>
          <w:r>
            <w:rPr>
              <w:rFonts w:hint="default" w:ascii="Times New Roman" w:hAnsi="Times New Roman" w:eastAsia="仿宋_GB2312" w:cs="Times New Roman"/>
              <w:sz w:val="32"/>
              <w:szCs w:val="32"/>
            </w:rPr>
            <w:tab/>
          </w:r>
          <w:bookmarkStart w:id="40" w:name="_Toc86779450_WPSOffice_Level2Page"/>
          <w:r>
            <w:rPr>
              <w:rFonts w:hint="default" w:ascii="Times New Roman" w:hAnsi="Times New Roman" w:eastAsia="仿宋_GB2312" w:cs="Times New Roman"/>
              <w:sz w:val="32"/>
              <w:szCs w:val="32"/>
            </w:rPr>
            <w:t>19</w:t>
          </w:r>
          <w:bookmarkEnd w:id="40"/>
          <w:r>
            <w:rPr>
              <w:rFonts w:hint="default" w:ascii="Times New Roman" w:hAnsi="Times New Roman" w:eastAsia="仿宋_GB2312" w:cs="Times New Roman"/>
              <w:sz w:val="32"/>
              <w:szCs w:val="32"/>
            </w:rPr>
            <w:fldChar w:fldCharType="end"/>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_Toc1837220416_WPSOffice_Level2 </w:instrText>
          </w:r>
          <w:r>
            <w:rPr>
              <w:rFonts w:hint="default" w:ascii="Times New Roman" w:hAnsi="Times New Roman" w:eastAsia="仿宋_GB2312" w:cs="Times New Roman"/>
              <w:sz w:val="32"/>
              <w:szCs w:val="32"/>
            </w:rPr>
            <w:fldChar w:fldCharType="separate"/>
          </w:r>
          <w:sdt>
            <w:sdtPr>
              <w:rPr>
                <w:rFonts w:hint="default" w:ascii="Times New Roman" w:hAnsi="Times New Roman" w:eastAsia="仿宋_GB2312" w:cs="Times New Roman"/>
                <w:sz w:val="32"/>
                <w:szCs w:val="32"/>
                <w:lang w:val="en-US" w:eastAsia="zh-CN"/>
              </w:rPr>
              <w:id w:val="147461011"/>
              <w:placeholder>
                <w:docPart w:val="{482e6438-8402-44e2-855c-52b056a05ea2}"/>
              </w:placeholder>
            </w:sdtPr>
            <w:sdtEndPr>
              <w:rPr>
                <w:rFonts w:hint="default" w:ascii="Times New Roman" w:hAnsi="Times New Roman" w:eastAsia="仿宋_GB2312" w:cs="Times New Roman"/>
                <w:sz w:val="32"/>
                <w:szCs w:val="32"/>
                <w:lang w:val="en-US" w:eastAsia="zh-CN"/>
              </w:rPr>
            </w:sdtEndPr>
            <w:sdtContent>
              <w:r>
                <w:rPr>
                  <w:rFonts w:hint="default" w:ascii="Times New Roman" w:hAnsi="Times New Roman" w:eastAsia="仿宋_GB2312" w:cs="Times New Roman"/>
                  <w:sz w:val="32"/>
                  <w:szCs w:val="32"/>
                </w:rPr>
                <w:t>十、政府性基金预算财政拨款收入支出决算表</w:t>
              </w:r>
            </w:sdtContent>
          </w:sdt>
          <w:r>
            <w:rPr>
              <w:rFonts w:hint="default" w:ascii="Times New Roman" w:hAnsi="Times New Roman" w:eastAsia="仿宋_GB2312" w:cs="Times New Roman"/>
              <w:sz w:val="32"/>
              <w:szCs w:val="32"/>
            </w:rPr>
            <w:tab/>
          </w:r>
          <w:bookmarkStart w:id="41" w:name="_Toc1837220416_WPSOffice_Level2Page"/>
          <w:r>
            <w:rPr>
              <w:rFonts w:hint="default" w:ascii="Times New Roman" w:hAnsi="Times New Roman" w:eastAsia="仿宋_GB2312" w:cs="Times New Roman"/>
              <w:sz w:val="32"/>
              <w:szCs w:val="32"/>
            </w:rPr>
            <w:t>19</w:t>
          </w:r>
          <w:bookmarkEnd w:id="41"/>
          <w:r>
            <w:rPr>
              <w:rFonts w:hint="default" w:ascii="Times New Roman" w:hAnsi="Times New Roman" w:eastAsia="仿宋_GB2312" w:cs="Times New Roman"/>
              <w:sz w:val="32"/>
              <w:szCs w:val="32"/>
            </w:rPr>
            <w:fldChar w:fldCharType="end"/>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_Toc460140699_WPSOffice_Level2 </w:instrText>
          </w:r>
          <w:r>
            <w:rPr>
              <w:rFonts w:hint="default" w:ascii="Times New Roman" w:hAnsi="Times New Roman" w:eastAsia="仿宋_GB2312" w:cs="Times New Roman"/>
              <w:sz w:val="32"/>
              <w:szCs w:val="32"/>
            </w:rPr>
            <w:fldChar w:fldCharType="separate"/>
          </w:r>
          <w:sdt>
            <w:sdtPr>
              <w:rPr>
                <w:rFonts w:hint="default" w:ascii="Times New Roman" w:hAnsi="Times New Roman" w:eastAsia="仿宋_GB2312" w:cs="Times New Roman"/>
                <w:sz w:val="32"/>
                <w:szCs w:val="32"/>
                <w:lang w:val="en-US" w:eastAsia="zh-CN"/>
              </w:rPr>
              <w:id w:val="147462086"/>
              <w:placeholder>
                <w:docPart w:val="{f3143719-aaf2-415e-96b8-3ed98ef412c8}"/>
              </w:placeholder>
            </w:sdtPr>
            <w:sdtEndPr>
              <w:rPr>
                <w:rFonts w:hint="default" w:ascii="Times New Roman" w:hAnsi="Times New Roman" w:eastAsia="仿宋_GB2312" w:cs="Times New Roman"/>
                <w:sz w:val="32"/>
                <w:szCs w:val="32"/>
                <w:lang w:val="en-US" w:eastAsia="zh-CN"/>
              </w:rPr>
            </w:sdtEndPr>
            <w:sdtContent>
              <w:r>
                <w:rPr>
                  <w:rFonts w:hint="default" w:ascii="Times New Roman" w:hAnsi="Times New Roman" w:eastAsia="仿宋_GB2312" w:cs="Times New Roman"/>
                  <w:sz w:val="32"/>
                  <w:szCs w:val="32"/>
                </w:rPr>
                <w:t>十一、国有资本经营预算财政拨款收入支出决算表</w:t>
              </w:r>
            </w:sdtContent>
          </w:sdt>
          <w:r>
            <w:rPr>
              <w:rFonts w:hint="default" w:ascii="Times New Roman" w:hAnsi="Times New Roman" w:eastAsia="仿宋_GB2312" w:cs="Times New Roman"/>
              <w:sz w:val="32"/>
              <w:szCs w:val="32"/>
            </w:rPr>
            <w:tab/>
          </w:r>
          <w:bookmarkStart w:id="42" w:name="_Toc460140699_WPSOffice_Level2Page"/>
          <w:r>
            <w:rPr>
              <w:rFonts w:hint="default" w:ascii="Times New Roman" w:hAnsi="Times New Roman" w:eastAsia="仿宋_GB2312" w:cs="Times New Roman"/>
              <w:sz w:val="32"/>
              <w:szCs w:val="32"/>
            </w:rPr>
            <w:t>19</w:t>
          </w:r>
          <w:bookmarkEnd w:id="42"/>
          <w:r>
            <w:rPr>
              <w:rFonts w:hint="default" w:ascii="Times New Roman" w:hAnsi="Times New Roman" w:eastAsia="仿宋_GB2312" w:cs="Times New Roman"/>
              <w:sz w:val="32"/>
              <w:szCs w:val="32"/>
            </w:rPr>
            <w:fldChar w:fldCharType="end"/>
          </w:r>
        </w:p>
        <w:p>
          <w:pPr>
            <w:pStyle w:val="14"/>
            <w:adjustRightInd w:val="0"/>
            <w:snapToGrid w:val="0"/>
            <w:spacing w:line="560" w:lineRule="exact"/>
            <w:ind w:left="0" w:leftChars="0"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_Toc1899631975_WPSOffice_Level2 </w:instrText>
          </w:r>
          <w:r>
            <w:rPr>
              <w:rFonts w:hint="default" w:ascii="Times New Roman" w:hAnsi="Times New Roman" w:eastAsia="仿宋_GB2312" w:cs="Times New Roman"/>
              <w:sz w:val="32"/>
              <w:szCs w:val="32"/>
            </w:rPr>
            <w:fldChar w:fldCharType="separate"/>
          </w:r>
          <w:sdt>
            <w:sdtPr>
              <w:rPr>
                <w:rFonts w:hint="default" w:ascii="Times New Roman" w:hAnsi="Times New Roman" w:eastAsia="仿宋_GB2312" w:cs="Times New Roman"/>
                <w:sz w:val="32"/>
                <w:szCs w:val="32"/>
                <w:lang w:val="en-US" w:eastAsia="zh-CN"/>
              </w:rPr>
              <w:id w:val="147478586"/>
              <w:placeholder>
                <w:docPart w:val="{0af2386e-910a-45ac-949d-8ef9f1097297}"/>
              </w:placeholder>
            </w:sdtPr>
            <w:sdtEndPr>
              <w:rPr>
                <w:rFonts w:hint="default" w:ascii="Times New Roman" w:hAnsi="Times New Roman" w:eastAsia="仿宋_GB2312" w:cs="Times New Roman"/>
                <w:sz w:val="32"/>
                <w:szCs w:val="32"/>
                <w:lang w:val="en-US" w:eastAsia="zh-CN"/>
              </w:rPr>
            </w:sdtEndPr>
            <w:sdtContent>
              <w:r>
                <w:rPr>
                  <w:rFonts w:hint="default" w:ascii="Times New Roman" w:hAnsi="Times New Roman" w:eastAsia="仿宋_GB2312" w:cs="Times New Roman"/>
                  <w:sz w:val="32"/>
                  <w:szCs w:val="32"/>
                </w:rPr>
                <w:t>十二、国有资本经营预算财政拨款支出决算表</w:t>
              </w:r>
            </w:sdtContent>
          </w:sdt>
          <w:r>
            <w:rPr>
              <w:rFonts w:hint="default" w:ascii="Times New Roman" w:hAnsi="Times New Roman" w:eastAsia="仿宋_GB2312" w:cs="Times New Roman"/>
              <w:sz w:val="32"/>
              <w:szCs w:val="32"/>
            </w:rPr>
            <w:tab/>
          </w:r>
          <w:bookmarkStart w:id="43" w:name="_Toc1899631975_WPSOffice_Level2Page"/>
          <w:r>
            <w:rPr>
              <w:rFonts w:hint="default" w:ascii="Times New Roman" w:hAnsi="Times New Roman" w:eastAsia="仿宋_GB2312" w:cs="Times New Roman"/>
              <w:sz w:val="32"/>
              <w:szCs w:val="32"/>
            </w:rPr>
            <w:t>19</w:t>
          </w:r>
          <w:bookmarkEnd w:id="43"/>
          <w:r>
            <w:rPr>
              <w:rFonts w:hint="default" w:ascii="Times New Roman" w:hAnsi="Times New Roman" w:eastAsia="仿宋_GB2312" w:cs="Times New Roman"/>
              <w:sz w:val="32"/>
              <w:szCs w:val="32"/>
            </w:rPr>
            <w:fldChar w:fldCharType="end"/>
          </w:r>
        </w:p>
        <w:p>
          <w:pPr>
            <w:pStyle w:val="14"/>
            <w:adjustRightInd w:val="0"/>
            <w:snapToGrid w:val="0"/>
            <w:spacing w:line="560" w:lineRule="exact"/>
            <w:ind w:left="0" w:leftChars="0" w:firstLine="640" w:firstLineChars="200"/>
            <w:jc w:val="left"/>
            <w:rPr>
              <w:rFonts w:hint="default" w:ascii="Times New Roman" w:hAnsi="Times New Roman" w:cs="Times New Roman"/>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_Toc2091208279_WPSOffice_Level2 </w:instrText>
          </w:r>
          <w:r>
            <w:rPr>
              <w:rFonts w:hint="default" w:ascii="Times New Roman" w:hAnsi="Times New Roman" w:eastAsia="仿宋_GB2312" w:cs="Times New Roman"/>
              <w:sz w:val="32"/>
              <w:szCs w:val="32"/>
            </w:rPr>
            <w:fldChar w:fldCharType="separate"/>
          </w:r>
          <w:sdt>
            <w:sdtPr>
              <w:rPr>
                <w:rFonts w:hint="default" w:ascii="Times New Roman" w:hAnsi="Times New Roman" w:eastAsia="仿宋_GB2312" w:cs="Times New Roman"/>
                <w:sz w:val="32"/>
                <w:szCs w:val="32"/>
                <w:lang w:val="en-US" w:eastAsia="zh-CN"/>
              </w:rPr>
              <w:id w:val="147451137"/>
              <w:placeholder>
                <w:docPart w:val="{75ebad50-d29d-4f2c-a852-6e953da84787}"/>
              </w:placeholder>
            </w:sdtPr>
            <w:sdtEndPr>
              <w:rPr>
                <w:rFonts w:hint="default" w:ascii="Times New Roman" w:hAnsi="Times New Roman" w:eastAsia="仿宋_GB2312" w:cs="Times New Roman"/>
                <w:sz w:val="32"/>
                <w:szCs w:val="32"/>
                <w:lang w:val="en-US" w:eastAsia="zh-CN"/>
              </w:rPr>
            </w:sdtEndPr>
            <w:sdtContent>
              <w:r>
                <w:rPr>
                  <w:rFonts w:hint="default" w:ascii="Times New Roman" w:hAnsi="Times New Roman" w:eastAsia="仿宋_GB2312" w:cs="Times New Roman"/>
                  <w:sz w:val="32"/>
                  <w:szCs w:val="32"/>
                </w:rPr>
                <w:t>十三、财政拨款“三公”经费支出决算表</w:t>
              </w:r>
            </w:sdtContent>
          </w:sdt>
          <w:r>
            <w:rPr>
              <w:rFonts w:hint="default" w:ascii="Times New Roman" w:hAnsi="Times New Roman" w:eastAsia="仿宋_GB2312" w:cs="Times New Roman"/>
              <w:sz w:val="32"/>
              <w:szCs w:val="32"/>
            </w:rPr>
            <w:tab/>
          </w:r>
          <w:bookmarkStart w:id="44" w:name="_Toc2091208279_WPSOffice_Level2Page"/>
          <w:r>
            <w:rPr>
              <w:rFonts w:hint="default" w:ascii="Times New Roman" w:hAnsi="Times New Roman" w:eastAsia="仿宋_GB2312" w:cs="Times New Roman"/>
              <w:sz w:val="32"/>
              <w:szCs w:val="32"/>
            </w:rPr>
            <w:t>19</w:t>
          </w:r>
          <w:bookmarkEnd w:id="44"/>
          <w:r>
            <w:rPr>
              <w:rFonts w:hint="default" w:ascii="Times New Roman" w:hAnsi="Times New Roman" w:eastAsia="仿宋_GB2312" w:cs="Times New Roman"/>
              <w:sz w:val="32"/>
              <w:szCs w:val="32"/>
            </w:rPr>
            <w:fldChar w:fldCharType="end"/>
          </w:r>
          <w:bookmarkEnd w:id="12"/>
        </w:p>
      </w:sdtContent>
    </w:sdt>
    <w:p>
      <w:pPr>
        <w:widowControl/>
        <w:spacing w:line="560" w:lineRule="exact"/>
        <w:jc w:val="left"/>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br w:type="page"/>
      </w:r>
    </w:p>
    <w:p>
      <w:pPr>
        <w:pStyle w:val="3"/>
        <w:jc w:val="center"/>
        <w:rPr>
          <w:rFonts w:hint="default" w:ascii="Times New Roman" w:hAnsi="Times New Roman" w:eastAsia="黑体" w:cs="Times New Roman"/>
          <w:sz w:val="32"/>
          <w:szCs w:val="32"/>
        </w:rPr>
      </w:pPr>
      <w:bookmarkStart w:id="45" w:name="_Toc1364835239_WPSOffice_Level1"/>
      <w:r>
        <w:rPr>
          <w:rFonts w:hint="default" w:ascii="Times New Roman" w:hAnsi="Times New Roman" w:eastAsia="方正小标宋简体" w:cs="Times New Roman"/>
          <w:b w:val="0"/>
        </w:rPr>
        <w:t xml:space="preserve">第一部分  </w:t>
      </w:r>
      <w:r>
        <w:rPr>
          <w:rFonts w:hint="default" w:ascii="Times New Roman" w:hAnsi="Times New Roman" w:eastAsia="方正小标宋简体" w:cs="Times New Roman"/>
          <w:b w:val="0"/>
          <w:lang w:eastAsia="zh-CN"/>
        </w:rPr>
        <w:t>单位</w:t>
      </w:r>
      <w:r>
        <w:rPr>
          <w:rStyle w:val="28"/>
          <w:rFonts w:hint="default" w:ascii="Times New Roman" w:hAnsi="Times New Roman" w:eastAsia="方正小标宋简体" w:cs="Times New Roman"/>
          <w:b w:val="0"/>
          <w:bCs w:val="0"/>
        </w:rPr>
        <w:t>概况</w:t>
      </w:r>
      <w:bookmarkEnd w:id="13"/>
      <w:bookmarkEnd w:id="14"/>
      <w:bookmarkEnd w:id="45"/>
    </w:p>
    <w:p>
      <w:pPr>
        <w:pStyle w:val="27"/>
        <w:spacing w:line="600" w:lineRule="exact"/>
        <w:ind w:firstLine="640"/>
        <w:outlineLvl w:val="1"/>
        <w:rPr>
          <w:rFonts w:hint="default" w:ascii="Times New Roman" w:hAnsi="Times New Roman" w:eastAsia="黑体" w:cs="Times New Roman"/>
          <w:sz w:val="32"/>
          <w:szCs w:val="32"/>
        </w:rPr>
      </w:pPr>
      <w:bookmarkStart w:id="46" w:name="_Toc843331563_WPSOffice_Level2"/>
      <w:r>
        <w:rPr>
          <w:rFonts w:hint="default" w:ascii="Times New Roman" w:hAnsi="Times New Roman" w:eastAsia="黑体" w:cs="Times New Roman"/>
          <w:sz w:val="32"/>
          <w:szCs w:val="32"/>
          <w:lang w:eastAsia="zh-CN"/>
        </w:rPr>
        <w:t>一、主要</w:t>
      </w:r>
      <w:r>
        <w:rPr>
          <w:rFonts w:hint="default" w:ascii="Times New Roman" w:hAnsi="Times New Roman" w:eastAsia="黑体" w:cs="Times New Roman"/>
          <w:sz w:val="32"/>
          <w:szCs w:val="32"/>
        </w:rPr>
        <w:t>职责</w:t>
      </w:r>
      <w:bookmarkEnd w:id="46"/>
    </w:p>
    <w:p>
      <w:pPr>
        <w:pStyle w:val="27"/>
        <w:spacing w:line="600" w:lineRule="exact"/>
        <w:ind w:firstLine="640"/>
        <w:outlineLvl w:val="1"/>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（一）贯彻落实党中央关于“三农”工作的方针政策和省委、市委的决策部署，在履行职责过程中坚持和加强党对“三农”工作的集中统一领导。</w:t>
      </w:r>
    </w:p>
    <w:p>
      <w:pPr>
        <w:adjustRightInd w:val="0"/>
        <w:snapToGrid w:val="0"/>
        <w:spacing w:line="576"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（二）</w:t>
      </w:r>
      <w:r>
        <w:rPr>
          <w:rFonts w:hint="default" w:ascii="Times New Roman" w:hAnsi="Times New Roman" w:eastAsia="仿宋_GB2312" w:cs="Times New Roman"/>
          <w:sz w:val="32"/>
          <w:szCs w:val="32"/>
        </w:rPr>
        <w:t>统筹研究和组织实施全市“三农”工作发展战略、中长期规划、重大政策。贯彻执行国家有关种植业、畜牧业（草原牧业）、渔业、农业机械化、农垦等农业领域工作的法律、法规、政策以及市委、市政府关于“三农”方面的决策部署，组织起草全市“三农”有关政策。参与涉农的财税、价格、收储、金融保险、进出口等政策制定。</w:t>
      </w:r>
    </w:p>
    <w:p>
      <w:pPr>
        <w:adjustRightInd w:val="0"/>
        <w:snapToGrid w:val="0"/>
        <w:spacing w:line="576"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w:t>
      </w:r>
      <w:r>
        <w:rPr>
          <w:rFonts w:hint="default" w:ascii="Times New Roman" w:hAnsi="Times New Roman" w:eastAsia="仿宋_GB2312" w:cs="Times New Roman"/>
          <w:sz w:val="32"/>
          <w:szCs w:val="32"/>
        </w:rPr>
        <w:t>统筹实施乡村振兴战略，牵头组织改善全市农村人居环境。拟订深化全市农村经济体制改革和巩固完善农村基本经营制度的政策措施。指导全市乡村特色产业、农产品加工业（产地初加工）、休闲农业和乡村企业发展工作。负责全市种植业、畜牧业（草原牧业）、渔业、农垦、农业机械化等农业各产业的监督管理。</w:t>
      </w:r>
    </w:p>
    <w:p>
      <w:pPr>
        <w:adjustRightInd w:val="0"/>
        <w:snapToGrid w:val="0"/>
        <w:spacing w:line="576"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（四）</w:t>
      </w:r>
      <w:r>
        <w:rPr>
          <w:rFonts w:hint="default" w:ascii="Times New Roman" w:hAnsi="Times New Roman" w:eastAsia="仿宋_GB2312" w:cs="Times New Roman"/>
          <w:sz w:val="32"/>
          <w:szCs w:val="32"/>
        </w:rPr>
        <w:t>负责制定全市农业全产业机械化、智能化、数字化发展规划并组织实施。负责全市农产品质量安全监督管理。组织开展农产品质量安全监测、追溯、风险评估。组织开展全市农业资源区划和资源保护工作。负责全市有关农业生产资料和农业投入品的监督管理。负责全市农业防灾减灾、农作物重大病虫害防治工作。负责全市农业投资管理和农田建设管理。</w:t>
      </w:r>
    </w:p>
    <w:p>
      <w:pPr>
        <w:adjustRightInd w:val="0"/>
        <w:snapToGrid w:val="0"/>
        <w:spacing w:line="576"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（五）</w:t>
      </w:r>
      <w:r>
        <w:rPr>
          <w:rFonts w:hint="default" w:ascii="Times New Roman" w:hAnsi="Times New Roman" w:eastAsia="仿宋_GB2312" w:cs="Times New Roman"/>
          <w:sz w:val="32"/>
          <w:szCs w:val="32"/>
        </w:rPr>
        <w:t>制定全市农业科研、农技推广的规划、计划和有关政策并组织实施，牵头推动农业科技体制改革和农业科技创新体系建设。指导全市农业农村人才工作。牵头开展全市农业对外合作工作。编制全市烟叶种植规划方案，督促检查烟叶种植方案贯彻落实。负责农业领域综合行政执法工作。负责全市国有农场土地的保护、利用和管理，指导国有农场的改革与发展。依法依规负责农业安全生产和职业健康监督管理工作。负责职责范围内的生态环境保护、审批服务便民化等工作。</w:t>
      </w:r>
    </w:p>
    <w:p>
      <w:pPr>
        <w:snapToGrid w:val="0"/>
        <w:spacing w:line="520" w:lineRule="exact"/>
        <w:ind w:firstLine="640" w:firstLineChars="200"/>
        <w:rPr>
          <w:rFonts w:hint="default" w:ascii="Times New Roman" w:hAnsi="Times New Roman" w:cs="Times New Roman"/>
        </w:rPr>
      </w:pPr>
      <w:r>
        <w:rPr>
          <w:rFonts w:hint="default" w:ascii="Times New Roman" w:hAnsi="Times New Roman" w:eastAsia="仿宋_GB2312" w:cs="Times New Roman"/>
          <w:sz w:val="32"/>
          <w:szCs w:val="32"/>
          <w:lang w:eastAsia="zh-CN"/>
        </w:rPr>
        <w:t>（六）</w:t>
      </w:r>
      <w:r>
        <w:rPr>
          <w:rFonts w:hint="default" w:ascii="Times New Roman" w:hAnsi="Times New Roman" w:eastAsia="仿宋_GB2312" w:cs="Times New Roman"/>
          <w:sz w:val="32"/>
          <w:szCs w:val="32"/>
        </w:rPr>
        <w:t>完成市委、市政府交办的其他任务。</w:t>
      </w:r>
    </w:p>
    <w:p>
      <w:pPr>
        <w:pStyle w:val="27"/>
        <w:spacing w:line="600" w:lineRule="exact"/>
        <w:ind w:firstLine="640"/>
        <w:outlineLvl w:val="1"/>
        <w:rPr>
          <w:rFonts w:hint="default" w:ascii="Times New Roman" w:hAnsi="Times New Roman" w:eastAsia="黑体" w:cs="Times New Roman"/>
          <w:sz w:val="32"/>
          <w:szCs w:val="32"/>
          <w:lang w:eastAsia="zh-CN"/>
        </w:rPr>
      </w:pPr>
      <w:bookmarkStart w:id="47" w:name="_Toc15396601"/>
      <w:bookmarkStart w:id="48" w:name="_Toc1072541102_WPSOffice_Level2"/>
      <w:bookmarkStart w:id="49" w:name="_Toc15377200"/>
      <w:r>
        <w:rPr>
          <w:rFonts w:hint="default" w:ascii="Times New Roman" w:hAnsi="Times New Roman" w:eastAsia="黑体" w:cs="Times New Roman"/>
          <w:sz w:val="32"/>
          <w:szCs w:val="32"/>
          <w:lang w:eastAsia="zh-CN"/>
        </w:rPr>
        <w:t>二、机构设置</w:t>
      </w:r>
      <w:bookmarkEnd w:id="47"/>
      <w:bookmarkEnd w:id="48"/>
      <w:bookmarkEnd w:id="49"/>
    </w:p>
    <w:p>
      <w:pPr>
        <w:pStyle w:val="27"/>
        <w:spacing w:line="600" w:lineRule="exact"/>
        <w:ind w:firstLine="640"/>
        <w:outlineLvl w:val="1"/>
        <w:rPr>
          <w:rFonts w:hint="default" w:ascii="Times New Roman" w:hAnsi="Times New Roman" w:eastAsia="黑体" w:cs="Times New Roman"/>
          <w:sz w:val="32"/>
          <w:szCs w:val="32"/>
          <w:lang w:eastAsia="zh-CN"/>
        </w:rPr>
      </w:pPr>
      <w:bookmarkStart w:id="50" w:name="_Toc15377204"/>
      <w:bookmarkStart w:id="51" w:name="_Toc15396602"/>
      <w:r>
        <w:rPr>
          <w:rFonts w:hint="default" w:ascii="Times New Roman" w:hAnsi="Times New Roman" w:eastAsia="仿宋_GB2312" w:cs="Times New Roman"/>
          <w:kern w:val="2"/>
          <w:sz w:val="32"/>
          <w:szCs w:val="32"/>
          <w:lang w:val="en-US" w:eastAsia="zh-CN" w:bidi="ar-SA"/>
        </w:rPr>
        <w:t>攀枝花市农业农村局（本级）属攀枝花市农业农村局部门下属二级预算单位，内设机构：办公室、计划投资财务科、人事科、政策法规和农村改革科（行政审批科）、乡村建设与农村社会事业促进科、农田建设与农业机械化科、种业种植业与农药肥料科、特色产业和农业园区科、畜牧兽医与渔业渔政科、市场开发与信息化科、农产品质量与科技教育科、家庭农场与新经济组织科、行政执法监督科（攀枝花市农业综合行政执法监督支队）、监测帮扶与脱贫成果巩固科。</w:t>
      </w:r>
      <w:r>
        <w:rPr>
          <w:rFonts w:hint="default" w:ascii="Times New Roman" w:hAnsi="Times New Roman" w:eastAsia="仿宋_GB2312" w:cs="Times New Roman"/>
          <w:kern w:val="2"/>
          <w:sz w:val="32"/>
          <w:szCs w:val="32"/>
          <w:lang w:val="en-US" w:eastAsia="zh-CN" w:bidi="ar-SA"/>
        </w:rPr>
        <w:br w:type="page"/>
      </w:r>
    </w:p>
    <w:p>
      <w:pPr>
        <w:pStyle w:val="3"/>
        <w:jc w:val="center"/>
        <w:rPr>
          <w:rFonts w:hint="default" w:ascii="Times New Roman" w:hAnsi="Times New Roman" w:eastAsia="方正小标宋简体" w:cs="Times New Roman"/>
          <w:b w:val="0"/>
        </w:rPr>
      </w:pPr>
      <w:bookmarkStart w:id="52" w:name="_Toc843331563_WPSOffice_Level1"/>
      <w:r>
        <w:rPr>
          <w:rFonts w:hint="default" w:ascii="Times New Roman" w:hAnsi="Times New Roman" w:eastAsia="方正小标宋简体" w:cs="Times New Roman"/>
          <w:b w:val="0"/>
        </w:rPr>
        <w:t>第二部分  2025年度部门决算情况说明</w:t>
      </w:r>
      <w:bookmarkEnd w:id="50"/>
      <w:bookmarkEnd w:id="51"/>
      <w:bookmarkEnd w:id="52"/>
    </w:p>
    <w:p>
      <w:pPr>
        <w:rPr>
          <w:rFonts w:hint="default" w:ascii="Times New Roman" w:hAnsi="Times New Roman" w:cs="Times New Roman"/>
        </w:rPr>
      </w:pPr>
    </w:p>
    <w:p>
      <w:pPr>
        <w:pStyle w:val="27"/>
        <w:spacing w:line="600" w:lineRule="exact"/>
        <w:ind w:firstLine="640"/>
        <w:jc w:val="both"/>
        <w:outlineLvl w:val="1"/>
        <w:rPr>
          <w:rStyle w:val="29"/>
          <w:rFonts w:hint="default" w:ascii="Times New Roman" w:hAnsi="Times New Roman" w:eastAsia="黑体" w:cs="Times New Roman"/>
          <w:b w:val="0"/>
        </w:rPr>
      </w:pPr>
      <w:bookmarkStart w:id="53" w:name="_Toc15377205"/>
      <w:bookmarkStart w:id="54" w:name="_Toc15396603"/>
      <w:bookmarkStart w:id="55" w:name="_Toc1969383725_WPSOffice_Level2"/>
      <w:r>
        <w:rPr>
          <w:rFonts w:hint="default" w:ascii="Times New Roman" w:hAnsi="Times New Roman" w:eastAsia="黑体" w:cs="Times New Roman"/>
          <w:sz w:val="32"/>
          <w:szCs w:val="32"/>
        </w:rPr>
        <w:t>一、收</w:t>
      </w:r>
      <w:r>
        <w:rPr>
          <w:rStyle w:val="29"/>
          <w:rFonts w:hint="default" w:ascii="Times New Roman" w:hAnsi="Times New Roman" w:eastAsia="黑体" w:cs="Times New Roman"/>
          <w:b w:val="0"/>
        </w:rPr>
        <w:t>入支出决算总体情况说明</w:t>
      </w:r>
      <w:bookmarkEnd w:id="53"/>
      <w:bookmarkEnd w:id="54"/>
      <w:bookmarkEnd w:id="55"/>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2025年度收入、支出总计均为4328.08万元。与2024年度相比，收入、支出总计各增加391.65万元，增长9.9%。变动主要系政策性刚性支出结构调整及项目推进规模扩大所致。其中，基本支出因社保缴费基数及工资福利政策性上调相应增加；项目支出随年度重点任务实施进度较上年有所拓展。</w:t>
      </w:r>
    </w:p>
    <w:p>
      <w:pPr>
        <w:pStyle w:val="27"/>
        <w:spacing w:line="600" w:lineRule="exact"/>
        <w:ind w:firstLine="640"/>
        <w:jc w:val="both"/>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（图1：收入、支出决算总计变动情况图）</w:t>
      </w:r>
    </w:p>
    <w:p>
      <w:pPr>
        <w:ind w:firstLine="420" w:firstLineChars="200"/>
        <w:jc w:val="both"/>
        <w:rPr>
          <w:rFonts w:hint="default" w:ascii="Times New Roman" w:hAnsi="Times New Roman" w:eastAsia="黑体" w:cs="Times New Roman"/>
          <w:sz w:val="32"/>
          <w:szCs w:val="32"/>
        </w:rPr>
      </w:pPr>
      <w:r>
        <w:rPr>
          <w:rFonts w:hint="default" w:ascii="Times New Roman" w:hAnsi="Times New Roman" w:cs="Times New Roman"/>
        </w:rPr>
        <w:drawing>
          <wp:inline distT="0" distB="0" distL="114300" distR="114300">
            <wp:extent cx="4572000" cy="2743200"/>
            <wp:effectExtent l="4445" t="4445" r="14605" b="1460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bookmarkStart w:id="56" w:name="_Toc15396604"/>
      <w:bookmarkStart w:id="57" w:name="_Toc15377206"/>
    </w:p>
    <w:p>
      <w:pPr>
        <w:pStyle w:val="27"/>
        <w:spacing w:line="600" w:lineRule="exact"/>
        <w:ind w:firstLine="640"/>
        <w:jc w:val="both"/>
        <w:outlineLvl w:val="1"/>
        <w:rPr>
          <w:rFonts w:hint="default" w:ascii="Times New Roman" w:hAnsi="Times New Roman" w:eastAsia="黑体" w:cs="Times New Roman"/>
          <w:sz w:val="32"/>
          <w:szCs w:val="32"/>
        </w:rPr>
      </w:pPr>
      <w:bookmarkStart w:id="58" w:name="_Toc1281136866_WPSOffice_Level2"/>
      <w:r>
        <w:rPr>
          <w:rFonts w:hint="default" w:ascii="Times New Roman" w:hAnsi="Times New Roman" w:eastAsia="黑体" w:cs="Times New Roman"/>
          <w:sz w:val="32"/>
          <w:szCs w:val="32"/>
        </w:rPr>
        <w:t>二、收入决算情况说明</w:t>
      </w:r>
      <w:bookmarkEnd w:id="56"/>
      <w:bookmarkEnd w:id="57"/>
      <w:bookmarkEnd w:id="58"/>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2025年度本年收入合计4328.08万元，其中：一般公共预算财政拨款收入4299.18万元，占99.3%；政府性基金预算财政拨款收入28.9万元，占0.7%；国有资本经营预算财政拨款收入0万元，占0%；上级补助收入0万元，占0%；事业收入0万元，占0%；经营收入0万元，占0%；附属单位上缴收入0万元，占0%；其他收入0万元，占0%。</w:t>
      </w:r>
    </w:p>
    <w:p>
      <w:pPr>
        <w:pStyle w:val="27"/>
        <w:spacing w:line="600" w:lineRule="exact"/>
        <w:ind w:firstLine="640"/>
        <w:jc w:val="both"/>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（图2：收入决算结构图）</w:t>
      </w:r>
    </w:p>
    <w:p>
      <w:pPr>
        <w:pStyle w:val="2"/>
        <w:jc w:val="both"/>
        <w:rPr>
          <w:rFonts w:hint="default" w:ascii="Times New Roman" w:hAnsi="Times New Roman" w:eastAsia="仿宋_GB2312" w:cs="Times New Roman"/>
          <w:sz w:val="32"/>
          <w:szCs w:val="32"/>
        </w:rPr>
      </w:pPr>
      <w:r>
        <w:rPr>
          <w:rFonts w:hint="default" w:ascii="Times New Roman" w:hAnsi="Times New Roman" w:cs="Times New Roman"/>
          <w:lang w:val="en-US" w:eastAsia="zh-CN"/>
        </w:rPr>
        <w:t xml:space="preserve">    </w:t>
      </w:r>
      <w:r>
        <w:rPr>
          <w:rFonts w:hint="default" w:ascii="Times New Roman" w:hAnsi="Times New Roman" w:cs="Times New Roman"/>
        </w:rPr>
        <w:drawing>
          <wp:inline distT="0" distB="0" distL="114300" distR="114300">
            <wp:extent cx="4572000" cy="2743200"/>
            <wp:effectExtent l="4445" t="4445" r="14605" b="14605"/>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27"/>
        <w:spacing w:line="600" w:lineRule="exact"/>
        <w:ind w:firstLine="640"/>
        <w:jc w:val="both"/>
        <w:outlineLvl w:val="1"/>
        <w:rPr>
          <w:rStyle w:val="29"/>
          <w:rFonts w:hint="default" w:ascii="Times New Roman" w:hAnsi="Times New Roman" w:eastAsia="黑体" w:cs="Times New Roman"/>
          <w:b w:val="0"/>
        </w:rPr>
      </w:pPr>
      <w:bookmarkStart w:id="59" w:name="_Toc15377207"/>
      <w:bookmarkStart w:id="60" w:name="_Toc15396605"/>
      <w:bookmarkStart w:id="61" w:name="_Toc286338482_WPSOffice_Level2"/>
      <w:r>
        <w:rPr>
          <w:rFonts w:hint="default" w:ascii="Times New Roman" w:hAnsi="Times New Roman" w:eastAsia="黑体" w:cs="Times New Roman"/>
          <w:sz w:val="32"/>
          <w:szCs w:val="32"/>
        </w:rPr>
        <w:t>三、支</w:t>
      </w:r>
      <w:r>
        <w:rPr>
          <w:rStyle w:val="29"/>
          <w:rFonts w:hint="default" w:ascii="Times New Roman" w:hAnsi="Times New Roman" w:eastAsia="黑体" w:cs="Times New Roman"/>
          <w:b w:val="0"/>
        </w:rPr>
        <w:t>出决算情况说明</w:t>
      </w:r>
      <w:bookmarkEnd w:id="59"/>
      <w:bookmarkEnd w:id="60"/>
      <w:bookmarkEnd w:id="61"/>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2025年度本年支出合计4328.08万元，其中：基本支出3875.43万元，占89.5%；项目支出452.65万元，占10.5%；上缴上级支出0万元，占0%；经营支出0万元，占0%；对附属单位补助支出0万元，占0%。</w:t>
      </w:r>
    </w:p>
    <w:p>
      <w:pPr>
        <w:pStyle w:val="27"/>
        <w:spacing w:line="600" w:lineRule="exact"/>
        <w:ind w:firstLine="640"/>
        <w:jc w:val="both"/>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（图3：支出决算结构图）</w:t>
      </w:r>
    </w:p>
    <w:p>
      <w:pPr>
        <w:ind w:firstLine="525" w:firstLineChars="250"/>
        <w:jc w:val="both"/>
        <w:rPr>
          <w:rFonts w:hint="default" w:ascii="Times New Roman" w:hAnsi="Times New Roman" w:eastAsia="仿宋_GB2312" w:cs="Times New Roman"/>
          <w:sz w:val="32"/>
          <w:szCs w:val="32"/>
        </w:rPr>
      </w:pPr>
      <w:r>
        <w:rPr>
          <w:rFonts w:hint="default" w:ascii="Times New Roman" w:hAnsi="Times New Roman" w:cs="Times New Roman"/>
          <w:lang w:val="en-US" w:eastAsia="zh-CN"/>
        </w:rPr>
        <w:t xml:space="preserve"> </w:t>
      </w:r>
      <w:r>
        <w:rPr>
          <w:rFonts w:hint="default" w:ascii="Times New Roman" w:hAnsi="Times New Roman" w:cs="Times New Roman"/>
        </w:rPr>
        <w:drawing>
          <wp:inline distT="0" distB="0" distL="114300" distR="114300">
            <wp:extent cx="4572000" cy="2743200"/>
            <wp:effectExtent l="4445" t="4445" r="14605" b="14605"/>
            <wp:docPr id="1"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firstLineChars="200"/>
        <w:jc w:val="both"/>
        <w:outlineLvl w:val="1"/>
        <w:rPr>
          <w:rFonts w:hint="default" w:ascii="Times New Roman" w:hAnsi="Times New Roman" w:eastAsia="黑体" w:cs="Times New Roman"/>
          <w:sz w:val="32"/>
          <w:szCs w:val="32"/>
        </w:rPr>
      </w:pPr>
      <w:bookmarkStart w:id="62" w:name="_Toc15377208"/>
      <w:bookmarkStart w:id="63" w:name="_Toc15396606"/>
    </w:p>
    <w:p>
      <w:pPr>
        <w:spacing w:line="600" w:lineRule="exact"/>
        <w:ind w:firstLine="640" w:firstLineChars="200"/>
        <w:jc w:val="both"/>
        <w:outlineLvl w:val="1"/>
        <w:rPr>
          <w:rStyle w:val="29"/>
          <w:rFonts w:hint="default" w:ascii="Times New Roman" w:hAnsi="Times New Roman" w:eastAsia="黑体" w:cs="Times New Roman"/>
          <w:b w:val="0"/>
        </w:rPr>
      </w:pPr>
      <w:bookmarkStart w:id="64" w:name="_Toc1033722768_WPSOffice_Level2"/>
      <w:r>
        <w:rPr>
          <w:rFonts w:hint="default" w:ascii="Times New Roman" w:hAnsi="Times New Roman" w:eastAsia="黑体" w:cs="Times New Roman"/>
          <w:sz w:val="32"/>
          <w:szCs w:val="32"/>
        </w:rPr>
        <w:t>四、财</w:t>
      </w:r>
      <w:r>
        <w:rPr>
          <w:rStyle w:val="29"/>
          <w:rFonts w:hint="default" w:ascii="Times New Roman" w:hAnsi="Times New Roman" w:eastAsia="黑体" w:cs="Times New Roman"/>
          <w:b w:val="0"/>
        </w:rPr>
        <w:t>政拨款收入支出决算总体情况说明</w:t>
      </w:r>
      <w:bookmarkEnd w:id="62"/>
      <w:bookmarkEnd w:id="63"/>
      <w:bookmarkEnd w:id="64"/>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2025年度财政拨款收入、支出总计均为4328.08万元。与2024年度相比，财政拨款收入、支出总计各增加391.65万元，增长9.9%。主要变动原因：一是基本支出因社保缴费基数及工资福利政策性上调相应增加；二是项目支出随年度重点任务实施进度较上年有所拓展。</w:t>
      </w:r>
    </w:p>
    <w:p>
      <w:pPr>
        <w:spacing w:line="60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（图4：财政拨款收、支决算总计变动情况）</w:t>
      </w:r>
    </w:p>
    <w:p>
      <w:pPr>
        <w:pStyle w:val="2"/>
        <w:jc w:val="both"/>
        <w:rPr>
          <w:rFonts w:hint="default" w:ascii="Times New Roman" w:hAnsi="Times New Roman" w:eastAsia="仿宋_GB2312" w:cs="Times New Roman"/>
          <w:sz w:val="32"/>
          <w:szCs w:val="32"/>
        </w:rPr>
      </w:pPr>
      <w:r>
        <w:rPr>
          <w:rFonts w:hint="default" w:ascii="Times New Roman" w:hAnsi="Times New Roman" w:cs="Times New Roman"/>
          <w:lang w:val="en-US" w:eastAsia="zh-CN"/>
        </w:rPr>
        <w:t xml:space="preserve">    </w:t>
      </w:r>
      <w:r>
        <w:rPr>
          <w:rFonts w:hint="default" w:ascii="Times New Roman" w:hAnsi="Times New Roman" w:cs="Times New Roman"/>
        </w:rPr>
        <w:drawing>
          <wp:inline distT="0" distB="0" distL="114300" distR="114300">
            <wp:extent cx="4572000" cy="2743200"/>
            <wp:effectExtent l="4445" t="4445" r="14605" b="14605"/>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0" w:firstLineChars="200"/>
        <w:jc w:val="both"/>
        <w:outlineLvl w:val="1"/>
        <w:rPr>
          <w:rStyle w:val="29"/>
          <w:rFonts w:hint="default" w:ascii="Times New Roman" w:hAnsi="Times New Roman" w:eastAsia="黑体" w:cs="Times New Roman"/>
          <w:b w:val="0"/>
        </w:rPr>
      </w:pPr>
      <w:bookmarkStart w:id="65" w:name="_Toc15377209"/>
      <w:bookmarkStart w:id="66" w:name="_Toc1259999295_WPSOffice_Level2"/>
      <w:bookmarkStart w:id="67" w:name="_Toc15396607"/>
      <w:r>
        <w:rPr>
          <w:rFonts w:hint="default" w:ascii="Times New Roman" w:hAnsi="Times New Roman" w:eastAsia="黑体" w:cs="Times New Roman"/>
          <w:sz w:val="32"/>
          <w:szCs w:val="32"/>
        </w:rPr>
        <w:t>五、</w:t>
      </w:r>
      <w:r>
        <w:rPr>
          <w:rFonts w:hint="default" w:ascii="Times New Roman" w:hAnsi="Times New Roman" w:eastAsia="黑体" w:cs="Times New Roman"/>
          <w:b/>
          <w:sz w:val="32"/>
          <w:szCs w:val="32"/>
        </w:rPr>
        <w:t>一</w:t>
      </w:r>
      <w:r>
        <w:rPr>
          <w:rStyle w:val="29"/>
          <w:rFonts w:hint="default" w:ascii="Times New Roman" w:hAnsi="Times New Roman" w:eastAsia="黑体" w:cs="Times New Roman"/>
          <w:b w:val="0"/>
        </w:rPr>
        <w:t>般公共预算财政拨款支出决算情况说明</w:t>
      </w:r>
      <w:bookmarkEnd w:id="65"/>
      <w:bookmarkEnd w:id="66"/>
      <w:bookmarkEnd w:id="67"/>
    </w:p>
    <w:p>
      <w:pPr>
        <w:spacing w:line="600" w:lineRule="exact"/>
        <w:ind w:firstLine="642" w:firstLineChars="200"/>
        <w:jc w:val="both"/>
        <w:outlineLvl w:val="2"/>
        <w:rPr>
          <w:rFonts w:hint="default" w:ascii="Times New Roman" w:hAnsi="Times New Roman" w:eastAsia="楷体_GB2312" w:cs="Times New Roman"/>
          <w:b/>
          <w:sz w:val="32"/>
          <w:szCs w:val="32"/>
        </w:rPr>
      </w:pPr>
      <w:bookmarkStart w:id="68" w:name="_Toc15377210"/>
      <w:r>
        <w:rPr>
          <w:rFonts w:hint="default" w:ascii="Times New Roman" w:hAnsi="Times New Roman" w:eastAsia="楷体_GB2312" w:cs="Times New Roman"/>
          <w:b/>
          <w:sz w:val="32"/>
          <w:szCs w:val="32"/>
        </w:rPr>
        <w:t>（一）一般公共预算财政拨款支出决算总体情况</w:t>
      </w:r>
      <w:bookmarkEnd w:id="68"/>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2025年度一般公共预算财政拨款支出4299.18万元，占本年支出合计的99.3%。与2024年度相比，一般公共预算财政拨款支出增加479.39万元，增长12.5%。主要变动原因</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一是基本支出因社保缴费基数及工资福利政策性上调相应增加；二是项目支出随年度重点任务实施进度较上年有所拓展。</w:t>
      </w:r>
    </w:p>
    <w:p>
      <w:pPr>
        <w:spacing w:line="600" w:lineRule="exact"/>
        <w:ind w:firstLine="64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（图5：一般公共预算财政拨款支出决算变动情况）</w:t>
      </w:r>
    </w:p>
    <w:p>
      <w:pPr>
        <w:spacing w:line="600" w:lineRule="exact"/>
        <w:jc w:val="both"/>
        <w:outlineLvl w:val="2"/>
        <w:rPr>
          <w:rFonts w:hint="default" w:ascii="Times New Roman" w:hAnsi="Times New Roman" w:eastAsia="楷体_GB2312" w:cs="Times New Roman"/>
          <w:b/>
          <w:sz w:val="32"/>
          <w:szCs w:val="32"/>
        </w:rPr>
      </w:pPr>
      <w:bookmarkStart w:id="69" w:name="_Toc15377211"/>
    </w:p>
    <w:p>
      <w:pPr>
        <w:pStyle w:val="2"/>
        <w:jc w:val="both"/>
        <w:rPr>
          <w:rFonts w:hint="default" w:ascii="Times New Roman" w:hAnsi="Times New Roman" w:eastAsia="楷体_GB2312" w:cs="Times New Roman"/>
          <w:b/>
          <w:sz w:val="32"/>
          <w:szCs w:val="32"/>
        </w:rPr>
      </w:pPr>
    </w:p>
    <w:p>
      <w:pPr>
        <w:pStyle w:val="2"/>
        <w:jc w:val="both"/>
        <w:rPr>
          <w:rFonts w:hint="default" w:ascii="Times New Roman" w:hAnsi="Times New Roman" w:eastAsia="楷体_GB2312" w:cs="Times New Roman"/>
          <w:b/>
          <w:sz w:val="32"/>
          <w:szCs w:val="32"/>
        </w:rPr>
      </w:pPr>
    </w:p>
    <w:p>
      <w:pPr>
        <w:pStyle w:val="2"/>
        <w:jc w:val="both"/>
        <w:rPr>
          <w:rFonts w:hint="default" w:ascii="Times New Roman" w:hAnsi="Times New Roman" w:eastAsia="楷体_GB2312" w:cs="Times New Roman"/>
          <w:b/>
          <w:sz w:val="32"/>
          <w:szCs w:val="32"/>
        </w:rPr>
      </w:pPr>
    </w:p>
    <w:p>
      <w:pPr>
        <w:spacing w:line="600" w:lineRule="exact"/>
        <w:ind w:firstLine="642" w:firstLineChars="200"/>
        <w:jc w:val="both"/>
        <w:outlineLvl w:val="2"/>
        <w:rPr>
          <w:rFonts w:hint="default" w:ascii="Times New Roman" w:hAnsi="Times New Roman" w:eastAsia="楷体_GB2312" w:cs="Times New Roman"/>
          <w:b/>
          <w:sz w:val="32"/>
          <w:szCs w:val="32"/>
        </w:rPr>
      </w:pPr>
    </w:p>
    <w:p>
      <w:pPr>
        <w:spacing w:line="600" w:lineRule="exact"/>
        <w:ind w:firstLine="642" w:firstLineChars="200"/>
        <w:jc w:val="both"/>
        <w:outlineLvl w:val="2"/>
        <w:rPr>
          <w:rFonts w:hint="default" w:ascii="Times New Roman" w:hAnsi="Times New Roman" w:eastAsia="楷体_GB2312" w:cs="Times New Roman"/>
          <w:b/>
          <w:sz w:val="32"/>
          <w:szCs w:val="32"/>
        </w:rPr>
      </w:pPr>
    </w:p>
    <w:p>
      <w:pPr>
        <w:spacing w:line="600" w:lineRule="exact"/>
        <w:ind w:firstLine="642" w:firstLineChars="200"/>
        <w:jc w:val="both"/>
        <w:outlineLvl w:val="2"/>
        <w:rPr>
          <w:rFonts w:hint="default" w:ascii="Times New Roman" w:hAnsi="Times New Roman" w:eastAsia="楷体_GB2312" w:cs="Times New Roman"/>
          <w:b/>
          <w:sz w:val="32"/>
          <w:szCs w:val="32"/>
        </w:rPr>
      </w:pPr>
    </w:p>
    <w:p>
      <w:pPr>
        <w:spacing w:line="600" w:lineRule="exact"/>
        <w:ind w:firstLine="642" w:firstLineChars="200"/>
        <w:jc w:val="both"/>
        <w:outlineLvl w:val="2"/>
        <w:rPr>
          <w:rFonts w:hint="default" w:ascii="Times New Roman" w:hAnsi="Times New Roman" w:eastAsia="楷体_GB2312" w:cs="Times New Roman"/>
          <w:b/>
          <w:sz w:val="32"/>
          <w:szCs w:val="32"/>
        </w:rPr>
      </w:pPr>
    </w:p>
    <w:p>
      <w:pPr>
        <w:spacing w:line="600" w:lineRule="exact"/>
        <w:ind w:firstLine="642" w:firstLineChars="200"/>
        <w:jc w:val="both"/>
        <w:outlineLvl w:val="2"/>
        <w:rPr>
          <w:rFonts w:hint="default" w:ascii="Times New Roman" w:hAnsi="Times New Roman" w:eastAsia="楷体_GB2312" w:cs="Times New Roman"/>
          <w:b/>
          <w:sz w:val="32"/>
          <w:szCs w:val="32"/>
        </w:rPr>
      </w:pPr>
    </w:p>
    <w:p>
      <w:pPr>
        <w:spacing w:line="600" w:lineRule="exact"/>
        <w:ind w:left="420" w:leftChars="200" w:firstLine="420" w:firstLineChars="200"/>
        <w:jc w:val="both"/>
        <w:outlineLvl w:val="2"/>
        <w:rPr>
          <w:rFonts w:hint="default" w:ascii="Times New Roman" w:hAnsi="Times New Roman" w:eastAsia="楷体_GB2312" w:cs="Times New Roman"/>
          <w:b/>
          <w:sz w:val="32"/>
          <w:szCs w:val="32"/>
        </w:rPr>
      </w:pPr>
      <w:r>
        <w:rPr>
          <w:rFonts w:hint="default" w:ascii="Times New Roman" w:hAnsi="Times New Roman" w:cs="Times New Roman"/>
        </w:rPr>
        <w:drawing>
          <wp:anchor distT="0" distB="0" distL="114300" distR="114300" simplePos="0" relativeHeight="251659264" behindDoc="0" locked="0" layoutInCell="1" allowOverlap="1">
            <wp:simplePos x="0" y="0"/>
            <wp:positionH relativeFrom="column">
              <wp:posOffset>271145</wp:posOffset>
            </wp:positionH>
            <wp:positionV relativeFrom="paragraph">
              <wp:posOffset>-2453005</wp:posOffset>
            </wp:positionV>
            <wp:extent cx="4572000" cy="2743200"/>
            <wp:effectExtent l="4445" t="4445" r="14605" b="14605"/>
            <wp:wrapSquare wrapText="bothSides"/>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hint="default" w:ascii="Times New Roman" w:hAnsi="Times New Roman" w:eastAsia="楷体_GB2312" w:cs="Times New Roman"/>
          <w:b/>
          <w:sz w:val="32"/>
          <w:szCs w:val="32"/>
          <w:lang w:val="en-US" w:eastAsia="zh-CN"/>
        </w:rPr>
        <w:t xml:space="preserve"> </w:t>
      </w:r>
      <w:r>
        <w:rPr>
          <w:rFonts w:hint="default" w:ascii="Times New Roman" w:hAnsi="Times New Roman" w:eastAsia="楷体_GB2312" w:cs="Times New Roman"/>
          <w:b/>
          <w:sz w:val="32"/>
          <w:szCs w:val="32"/>
        </w:rPr>
        <w:t>（二）一般公共预算财政拨款支出决算结构情况</w:t>
      </w:r>
      <w:bookmarkEnd w:id="69"/>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2025年度一般公共预算财政拨款支出4299.18万元，主要用于以下方面：一般公共服务支出7.41万元，占0.2%；社会保障和就业支出582.16万元，占13.5%；卫生健康支出175.16万元，占4.1%；农林水支出3297万元，占76.7%；住房保障支出237.44万元，占5.5%。</w:t>
      </w:r>
    </w:p>
    <w:p>
      <w:pPr>
        <w:spacing w:line="600" w:lineRule="exact"/>
        <w:ind w:firstLine="64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（图6：一般公共预算财政拨款支出决算结构）</w:t>
      </w:r>
    </w:p>
    <w:p>
      <w:pPr>
        <w:pStyle w:val="2"/>
        <w:jc w:val="both"/>
        <w:rPr>
          <w:rFonts w:hint="default" w:ascii="Times New Roman" w:hAnsi="Times New Roman" w:eastAsia="仿宋_GB2312" w:cs="Times New Roman"/>
          <w:sz w:val="32"/>
          <w:szCs w:val="32"/>
        </w:rPr>
      </w:pPr>
      <w:r>
        <w:rPr>
          <w:rFonts w:hint="default" w:ascii="Times New Roman" w:hAnsi="Times New Roman" w:cs="Times New Roman"/>
          <w:lang w:val="en"/>
        </w:rPr>
        <w:t xml:space="preserve">    </w:t>
      </w:r>
      <w:r>
        <w:rPr>
          <w:rFonts w:hint="default" w:ascii="Times New Roman" w:hAnsi="Times New Roman" w:cs="Times New Roman"/>
        </w:rPr>
        <w:drawing>
          <wp:inline distT="0" distB="0" distL="114300" distR="114300">
            <wp:extent cx="4572000" cy="2743200"/>
            <wp:effectExtent l="4445" t="4445" r="14605" b="14605"/>
            <wp:docPr id="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pStyle w:val="2"/>
        <w:jc w:val="both"/>
        <w:rPr>
          <w:rFonts w:hint="default" w:ascii="Times New Roman" w:hAnsi="Times New Roman" w:eastAsia="仿宋_GB2312" w:cs="Times New Roman"/>
          <w:sz w:val="32"/>
          <w:szCs w:val="32"/>
        </w:rPr>
      </w:pPr>
    </w:p>
    <w:p>
      <w:pPr>
        <w:spacing w:line="600" w:lineRule="exact"/>
        <w:ind w:firstLine="642" w:firstLineChars="200"/>
        <w:jc w:val="both"/>
        <w:outlineLvl w:val="2"/>
        <w:rPr>
          <w:rFonts w:hint="default" w:ascii="Times New Roman" w:hAnsi="Times New Roman" w:eastAsia="楷体_GB2312" w:cs="Times New Roman"/>
          <w:b/>
          <w:sz w:val="32"/>
          <w:szCs w:val="32"/>
        </w:rPr>
      </w:pPr>
      <w:bookmarkStart w:id="70" w:name="_Toc15377212"/>
      <w:r>
        <w:rPr>
          <w:rFonts w:hint="default" w:ascii="Times New Roman" w:hAnsi="Times New Roman" w:eastAsia="楷体_GB2312" w:cs="Times New Roman"/>
          <w:b/>
          <w:sz w:val="32"/>
          <w:szCs w:val="32"/>
        </w:rPr>
        <w:t>（三）一般公共预算财政拨款支出决算具体情况</w:t>
      </w:r>
      <w:bookmarkEnd w:id="70"/>
    </w:p>
    <w:p>
      <w:pPr>
        <w:spacing w:line="600" w:lineRule="exact"/>
        <w:ind w:firstLine="640"/>
        <w:jc w:val="both"/>
        <w:rPr>
          <w:rFonts w:hint="default" w:ascii="Times New Roman" w:hAnsi="Times New Roman" w:eastAsia="仿宋_GB2312" w:cs="Times New Roman"/>
          <w:sz w:val="32"/>
          <w:szCs w:val="32"/>
        </w:rPr>
      </w:pPr>
      <w:bookmarkStart w:id="71" w:name="_Toc15378460"/>
      <w:bookmarkStart w:id="72" w:name="_Toc15377444"/>
      <w:bookmarkStart w:id="73" w:name="_Toc15377213"/>
      <w:r>
        <w:rPr>
          <w:rFonts w:hint="default" w:ascii="Times New Roman" w:hAnsi="Times New Roman" w:eastAsia="仿宋_GB2312" w:cs="Times New Roman"/>
          <w:sz w:val="32"/>
          <w:szCs w:val="32"/>
        </w:rPr>
        <w:t>2025年度一般公共预算支出决算数为</w:t>
      </w:r>
      <w:r>
        <w:rPr>
          <w:rFonts w:hint="default" w:ascii="Times New Roman" w:hAnsi="Times New Roman" w:eastAsia="仿宋_GB2312" w:cs="Times New Roman"/>
          <w:sz w:val="32"/>
          <w:szCs w:val="32"/>
          <w:lang w:val="en-US" w:eastAsia="zh-CN"/>
        </w:rPr>
        <w:t>4299.18万元</w:t>
      </w:r>
      <w:r>
        <w:rPr>
          <w:rFonts w:hint="default" w:ascii="Times New Roman" w:hAnsi="Times New Roman" w:eastAsia="仿宋_GB2312" w:cs="Times New Roman"/>
          <w:sz w:val="32"/>
          <w:szCs w:val="32"/>
        </w:rPr>
        <w:t>，完成预算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%。其中：</w:t>
      </w:r>
      <w:bookmarkEnd w:id="71"/>
      <w:bookmarkEnd w:id="72"/>
      <w:bookmarkEnd w:id="73"/>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1.一般公共服务（类）组织事务（款）其他组织事务（项）</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 xml:space="preserve"> 支出决算为7.41万元，完成预算100%。</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2.社会保障和就业（类）人力资源和社会保障管理事务（款）其他人力资源和社会保障管理事务支出（项）</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 xml:space="preserve"> 支出决算为25.16万元，完成预算100%。</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3.社会保障和就业（类）行政事业单位养老（款）行政单位离退休（项）</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 xml:space="preserve"> 支出决算为128.78万元，完成预算100%。</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4.社会保障和就业（类）行政事业单位养老（款）事业单位离退休（项）</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支出决算为48.41万元，完成预算100%。</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5.社会保障和就业（类）行政事业单位养老（款）机关事业单位基本养老保险缴费支出（项）</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支出决算为298.52万元，完成预算100%。</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6.社会保障和就业（类）行政事业单位养老（款）机关事业单位职业年金缴费支出（项）</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支出决算为71.77万元，完成预算100%。</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7.社会保障和就业（类）抚恤（款）死亡抚恤（项）</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支出决算为9.33万元，完成预算100%。</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8.社会保障和就业（类）社会福利（款）儿童福利（项）</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支出决算为0.18万元，完成预算100%。</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9.卫生健康（类）行政事业单位医疗（款）行政单位医疗（项）：支出决算为99.42万元，完成预算100%。</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10.卫生健康（类）行政事业单位医疗（款）事业单位医疗（项）：支出决算为58.32万元，完成预算100%。</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11.卫生健康（类）行政事业单位医疗（款）公务员医疗补助（项）：支出决算为17.42万元，完成预算100%。</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12.农林水（类）农业农村（款）行政运行（项）</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支出决算为1828.95万元，完成预算100%。</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13.农林水（类）农业农村（款）事业运行（项）</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支出决算为1051.9万元，完成预算100%。</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14.农林水（类）农业农村（款）农产品质量安全（项）</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支出决算为3.09万元，完成预算100%。</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15.农林水（类）农业农村（款）耕地建设与利用（项）</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支出决算为6万元，完成预算100%。</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16.农林水（类）农业农村（款）其他农业农村支出（项）</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支出决算为362.06万元，完成预算100%。</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17.农林水（类）巩固脱贫衔接乡村振兴（款）其他巩固脱贫攻坚成果衔接乡村振兴支出（项）</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支出决算为45万元，完成预算100%。</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color w:val="auto"/>
          <w:kern w:val="2"/>
          <w:sz w:val="32"/>
          <w:szCs w:val="32"/>
          <w:highlight w:val="none"/>
          <w:lang w:val="en-US" w:eastAsia="zh-CN" w:bidi="ar-SA"/>
        </w:rPr>
        <w:t>18.住房保障（类）住房改革（款）住房公积金（项）</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支出决算为237.44万元，完成预算100%。</w:t>
      </w:r>
    </w:p>
    <w:p>
      <w:pPr>
        <w:tabs>
          <w:tab w:val="right" w:pos="8306"/>
        </w:tabs>
        <w:spacing w:line="600" w:lineRule="exact"/>
        <w:ind w:firstLine="640"/>
        <w:jc w:val="both"/>
        <w:outlineLvl w:val="1"/>
        <w:rPr>
          <w:rStyle w:val="29"/>
          <w:rFonts w:hint="default" w:ascii="Times New Roman" w:hAnsi="Times New Roman" w:cs="Times New Roman"/>
        </w:rPr>
      </w:pPr>
      <w:bookmarkStart w:id="74" w:name="_Toc15377214"/>
      <w:bookmarkStart w:id="75" w:name="_Toc15396608"/>
      <w:bookmarkStart w:id="76" w:name="_Toc1995564654_WPSOffice_Level2"/>
      <w:r>
        <w:rPr>
          <w:rFonts w:hint="default" w:ascii="Times New Roman" w:hAnsi="Times New Roman" w:eastAsia="黑体" w:cs="Times New Roman"/>
          <w:sz w:val="32"/>
          <w:szCs w:val="32"/>
        </w:rPr>
        <w:t>六</w:t>
      </w:r>
      <w:r>
        <w:rPr>
          <w:rFonts w:hint="default" w:ascii="Times New Roman" w:hAnsi="Times New Roman" w:eastAsia="黑体" w:cs="Times New Roman"/>
          <w:b/>
          <w:sz w:val="32"/>
          <w:szCs w:val="32"/>
        </w:rPr>
        <w:t>、一</w:t>
      </w:r>
      <w:r>
        <w:rPr>
          <w:rStyle w:val="29"/>
          <w:rFonts w:hint="default" w:ascii="Times New Roman" w:hAnsi="Times New Roman" w:eastAsia="黑体" w:cs="Times New Roman"/>
          <w:b w:val="0"/>
        </w:rPr>
        <w:t>般公共预算财政拨款基本支出决算情况说明</w:t>
      </w:r>
      <w:bookmarkEnd w:id="74"/>
      <w:bookmarkEnd w:id="75"/>
      <w:bookmarkEnd w:id="76"/>
      <w:r>
        <w:rPr>
          <w:rStyle w:val="29"/>
          <w:rFonts w:hint="default" w:ascii="Times New Roman" w:hAnsi="Times New Roman" w:eastAsia="黑体" w:cs="Times New Roman"/>
          <w:b w:val="0"/>
        </w:rPr>
        <w:tab/>
      </w:r>
    </w:p>
    <w:p>
      <w:pPr>
        <w:spacing w:line="600" w:lineRule="exact"/>
        <w:ind w:firstLine="64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2025年度一般公共预算财政拨款基本支出</w:t>
      </w:r>
      <w:r>
        <w:rPr>
          <w:rFonts w:hint="default" w:ascii="Times New Roman" w:hAnsi="Times New Roman" w:eastAsia="仿宋_GB2312" w:cs="Times New Roman"/>
          <w:sz w:val="32"/>
          <w:szCs w:val="32"/>
          <w:lang w:val="en"/>
        </w:rPr>
        <w:t>3875.43</w:t>
      </w:r>
      <w:r>
        <w:rPr>
          <w:rFonts w:hint="default" w:ascii="Times New Roman" w:hAnsi="Times New Roman" w:eastAsia="仿宋_GB2312" w:cs="Times New Roman"/>
          <w:sz w:val="32"/>
          <w:szCs w:val="32"/>
        </w:rPr>
        <w:t>万元，其中：</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color w:val="auto"/>
          <w:kern w:val="2"/>
          <w:sz w:val="32"/>
          <w:szCs w:val="32"/>
          <w:highlight w:val="none"/>
          <w:lang w:val="en-US" w:eastAsia="zh-CN" w:bidi="ar-SA"/>
        </w:rPr>
        <w:t>1.人员经费</w:t>
      </w:r>
      <w:r>
        <w:rPr>
          <w:rFonts w:hint="default" w:ascii="Times New Roman" w:hAnsi="Times New Roman" w:eastAsia="仿宋_GB2312" w:cs="Times New Roman"/>
          <w:color w:val="auto"/>
          <w:kern w:val="2"/>
          <w:sz w:val="32"/>
          <w:szCs w:val="32"/>
          <w:highlight w:val="none"/>
          <w:lang w:val="en" w:eastAsia="zh-CN" w:bidi="ar-SA"/>
        </w:rPr>
        <w:t>3477.3</w:t>
      </w:r>
      <w:r>
        <w:rPr>
          <w:rFonts w:hint="default" w:ascii="Times New Roman" w:hAnsi="Times New Roman" w:eastAsia="仿宋_GB2312" w:cs="Times New Roman"/>
          <w:color w:val="auto"/>
          <w:kern w:val="2"/>
          <w:sz w:val="32"/>
          <w:szCs w:val="32"/>
          <w:highlight w:val="none"/>
          <w:lang w:val="en-US" w:eastAsia="zh-CN" w:bidi="ar-SA"/>
        </w:rPr>
        <w:t>万元，主要包括：基本工资、津贴补贴、奖金、绩效工资、机关事业单位基本养老保险缴费、职业年金缴费、职工基本医疗保险缴费</w:t>
      </w:r>
      <w:r>
        <w:rPr>
          <w:rFonts w:hint="default" w:ascii="Times New Roman" w:hAnsi="Times New Roman" w:eastAsia="仿宋_GB2312" w:cs="Times New Roman"/>
          <w:color w:val="auto"/>
          <w:kern w:val="2"/>
          <w:sz w:val="32"/>
          <w:szCs w:val="32"/>
          <w:highlight w:val="none"/>
          <w:lang w:val="en" w:eastAsia="zh-CN" w:bidi="ar-SA"/>
        </w:rPr>
        <w:t>、公务员医疗补助缴费、</w:t>
      </w:r>
      <w:r>
        <w:rPr>
          <w:rFonts w:hint="default" w:ascii="Times New Roman" w:hAnsi="Times New Roman" w:eastAsia="仿宋_GB2312" w:cs="Times New Roman"/>
          <w:color w:val="auto"/>
          <w:kern w:val="2"/>
          <w:sz w:val="32"/>
          <w:szCs w:val="32"/>
          <w:highlight w:val="none"/>
          <w:lang w:val="en-US" w:eastAsia="zh-CN" w:bidi="ar-SA"/>
        </w:rPr>
        <w:t>其他社会保障缴费、其他工资福利支出、抚恤金、生活补助、医疗费补助、奖励金、住房公积金、其他对个人和家庭的补助支出等。</w:t>
      </w:r>
      <w:r>
        <w:rPr>
          <w:rFonts w:hint="default" w:ascii="Times New Roman" w:hAnsi="Times New Roman" w:eastAsia="仿宋_GB2312" w:cs="Times New Roman"/>
          <w:color w:val="auto"/>
          <w:kern w:val="2"/>
          <w:sz w:val="32"/>
          <w:szCs w:val="32"/>
          <w:highlight w:val="none"/>
          <w:lang w:val="en-US" w:eastAsia="zh-CN" w:bidi="ar-SA"/>
        </w:rPr>
        <w:br w:type="textWrapping"/>
      </w:r>
      <w:r>
        <w:rPr>
          <w:rFonts w:hint="default" w:ascii="Times New Roman" w:hAnsi="Times New Roman" w:eastAsia="仿宋_GB2312" w:cs="Times New Roman"/>
          <w:color w:val="auto"/>
          <w:kern w:val="2"/>
          <w:sz w:val="32"/>
          <w:szCs w:val="32"/>
          <w:highlight w:val="none"/>
          <w:lang w:val="en-US" w:eastAsia="zh-CN" w:bidi="ar-SA"/>
        </w:rPr>
        <w:t>　　2.公用经费</w:t>
      </w:r>
      <w:r>
        <w:rPr>
          <w:rFonts w:hint="default" w:ascii="Times New Roman" w:hAnsi="Times New Roman" w:eastAsia="仿宋_GB2312" w:cs="Times New Roman"/>
          <w:color w:val="auto"/>
          <w:kern w:val="2"/>
          <w:sz w:val="32"/>
          <w:szCs w:val="32"/>
          <w:highlight w:val="none"/>
          <w:lang w:val="en" w:eastAsia="zh-CN" w:bidi="ar-SA"/>
        </w:rPr>
        <w:t>398.13</w:t>
      </w:r>
      <w:r>
        <w:rPr>
          <w:rFonts w:hint="default" w:ascii="Times New Roman" w:hAnsi="Times New Roman" w:eastAsia="仿宋_GB2312" w:cs="Times New Roman"/>
          <w:color w:val="auto"/>
          <w:kern w:val="2"/>
          <w:sz w:val="32"/>
          <w:szCs w:val="32"/>
          <w:highlight w:val="none"/>
          <w:lang w:val="en-US" w:eastAsia="zh-CN" w:bidi="ar-SA"/>
        </w:rPr>
        <w:t>万元，主要包括：办公费、水费、电费、邮电费、物业管理费、差旅费、会议费、公务接待费、委托业务费、工会经费、福利费、公务用车运行维护费、其他交通费、其他商品和服务支出、办公设备购置</w:t>
      </w:r>
      <w:r>
        <w:rPr>
          <w:rFonts w:hint="default" w:ascii="Times New Roman" w:hAnsi="Times New Roman" w:eastAsia="仿宋_GB2312" w:cs="Times New Roman"/>
          <w:color w:val="auto"/>
          <w:kern w:val="2"/>
          <w:sz w:val="32"/>
          <w:szCs w:val="32"/>
          <w:highlight w:val="none"/>
          <w:lang w:val="en" w:eastAsia="zh-CN" w:bidi="ar-SA"/>
        </w:rPr>
        <w:t>。</w:t>
      </w:r>
    </w:p>
    <w:p>
      <w:pPr>
        <w:spacing w:line="600" w:lineRule="exact"/>
        <w:ind w:firstLine="640"/>
        <w:jc w:val="both"/>
        <w:outlineLvl w:val="1"/>
        <w:rPr>
          <w:rStyle w:val="29"/>
          <w:rFonts w:hint="default" w:ascii="Times New Roman" w:hAnsi="Times New Roman" w:eastAsia="黑体" w:cs="Times New Roman"/>
          <w:b w:val="0"/>
        </w:rPr>
      </w:pPr>
      <w:bookmarkStart w:id="77" w:name="_Toc532329220_WPSOffice_Level2"/>
      <w:bookmarkStart w:id="78" w:name="_Toc15377215"/>
      <w:bookmarkStart w:id="79" w:name="_Toc15396609"/>
      <w:r>
        <w:rPr>
          <w:rFonts w:hint="default" w:ascii="Times New Roman" w:hAnsi="Times New Roman" w:eastAsia="黑体" w:cs="Times New Roman"/>
          <w:sz w:val="32"/>
          <w:szCs w:val="32"/>
        </w:rPr>
        <w:t>七、</w:t>
      </w:r>
      <w:r>
        <w:rPr>
          <w:rStyle w:val="29"/>
          <w:rFonts w:hint="default" w:ascii="Times New Roman" w:hAnsi="Times New Roman" w:eastAsia="黑体" w:cs="Times New Roman"/>
          <w:b w:val="0"/>
        </w:rPr>
        <w:t>财政拨款</w:t>
      </w:r>
      <w:r>
        <w:rPr>
          <w:rStyle w:val="29"/>
          <w:rFonts w:hint="default" w:ascii="Times New Roman" w:hAnsi="Times New Roman" w:eastAsia="黑体" w:cs="Times New Roman"/>
        </w:rPr>
        <w:t>“</w:t>
      </w:r>
      <w:r>
        <w:rPr>
          <w:rStyle w:val="29"/>
          <w:rFonts w:hint="default" w:ascii="Times New Roman" w:hAnsi="Times New Roman" w:eastAsia="黑体" w:cs="Times New Roman"/>
          <w:b w:val="0"/>
        </w:rPr>
        <w:t>三公”经费支出决算情况说明</w:t>
      </w:r>
      <w:bookmarkEnd w:id="77"/>
      <w:bookmarkEnd w:id="78"/>
      <w:bookmarkEnd w:id="79"/>
    </w:p>
    <w:p>
      <w:pPr>
        <w:spacing w:line="600" w:lineRule="exact"/>
        <w:ind w:firstLine="642" w:firstLineChars="200"/>
        <w:jc w:val="both"/>
        <w:outlineLvl w:val="2"/>
        <w:rPr>
          <w:rFonts w:hint="default" w:ascii="Times New Roman" w:hAnsi="Times New Roman" w:eastAsia="楷体_GB2312" w:cs="Times New Roman"/>
          <w:b/>
          <w:sz w:val="32"/>
          <w:szCs w:val="32"/>
        </w:rPr>
      </w:pPr>
      <w:bookmarkStart w:id="80" w:name="_Toc15377216"/>
      <w:r>
        <w:rPr>
          <w:rFonts w:hint="default" w:ascii="Times New Roman" w:hAnsi="Times New Roman" w:eastAsia="楷体_GB2312" w:cs="Times New Roman"/>
          <w:b/>
          <w:sz w:val="32"/>
          <w:szCs w:val="32"/>
        </w:rPr>
        <w:t>（一）财政拨款“三公”经费支出决算总体情况说明</w:t>
      </w:r>
      <w:bookmarkEnd w:id="80"/>
    </w:p>
    <w:p>
      <w:pPr>
        <w:spacing w:line="600" w:lineRule="exact"/>
        <w:ind w:firstLine="640" w:firstLineChars="200"/>
        <w:jc w:val="both"/>
        <w:outlineLvl w:val="2"/>
        <w:rPr>
          <w:rFonts w:hint="default" w:ascii="Times New Roman" w:hAnsi="Times New Roman" w:eastAsia="仿宋_GB2312" w:cs="Times New Roman"/>
          <w:color w:val="auto"/>
          <w:kern w:val="2"/>
          <w:sz w:val="32"/>
          <w:szCs w:val="32"/>
          <w:highlight w:val="none"/>
          <w:lang w:val="en-US" w:eastAsia="zh-CN" w:bidi="ar-SA"/>
        </w:rPr>
      </w:pPr>
      <w:bookmarkStart w:id="81" w:name="_Toc15377217"/>
      <w:r>
        <w:rPr>
          <w:rFonts w:hint="default" w:ascii="Times New Roman" w:hAnsi="Times New Roman" w:eastAsia="仿宋_GB2312" w:cs="Times New Roman"/>
          <w:color w:val="auto"/>
          <w:kern w:val="2"/>
          <w:sz w:val="32"/>
          <w:szCs w:val="32"/>
          <w:highlight w:val="none"/>
          <w:lang w:val="en-US" w:eastAsia="zh-CN" w:bidi="ar-SA"/>
        </w:rPr>
        <w:t>2025年度“三公”经费财政拨款支出决算为29.27万元，完成预算100%，较上年度减少2.46万元，下降7.7%。决算数与预算数持平。</w:t>
      </w:r>
    </w:p>
    <w:p>
      <w:pPr>
        <w:spacing w:line="600" w:lineRule="exact"/>
        <w:ind w:firstLine="642" w:firstLineChars="200"/>
        <w:jc w:val="both"/>
        <w:outlineLvl w:val="2"/>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（二）财政拨款“三公”经费支出决算具体情况说明</w:t>
      </w:r>
      <w:bookmarkEnd w:id="81"/>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2025年度“三公”经费财政拨款支出决算中，因公出国（境）费支出决算0万元，占</w:t>
      </w:r>
      <w:r>
        <w:rPr>
          <w:rFonts w:hint="default" w:ascii="Times New Roman" w:hAnsi="Times New Roman" w:eastAsia="仿宋_GB2312" w:cs="Times New Roman"/>
          <w:color w:val="auto"/>
          <w:kern w:val="2"/>
          <w:sz w:val="32"/>
          <w:szCs w:val="32"/>
          <w:highlight w:val="none"/>
          <w:lang w:val="en" w:eastAsia="zh-CN" w:bidi="ar-SA"/>
        </w:rPr>
        <w:t>0</w:t>
      </w:r>
      <w:r>
        <w:rPr>
          <w:rFonts w:hint="default" w:ascii="Times New Roman" w:hAnsi="Times New Roman" w:eastAsia="仿宋_GB2312" w:cs="Times New Roman"/>
          <w:color w:val="auto"/>
          <w:kern w:val="2"/>
          <w:sz w:val="32"/>
          <w:szCs w:val="32"/>
          <w:highlight w:val="none"/>
          <w:lang w:val="en-US" w:eastAsia="zh-CN" w:bidi="ar-SA"/>
        </w:rPr>
        <w:t>%；公务用车购置及运行维护费支出决算25.74万元，占87.9%；公务接待费支出决算3.53万元，占12.1%。具体情况如下：</w:t>
      </w:r>
    </w:p>
    <w:p>
      <w:pPr>
        <w:spacing w:line="600" w:lineRule="exact"/>
        <w:ind w:firstLine="64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（图7：财政拨款“三公”经费支出结构）</w:t>
      </w:r>
    </w:p>
    <w:p>
      <w:pPr>
        <w:pStyle w:val="2"/>
        <w:jc w:val="both"/>
        <w:rPr>
          <w:rFonts w:hint="default" w:ascii="Times New Roman" w:hAnsi="Times New Roman" w:eastAsia="仿宋_GB2312" w:cs="Times New Roman"/>
          <w:sz w:val="32"/>
          <w:szCs w:val="32"/>
        </w:rPr>
      </w:pPr>
      <w:r>
        <w:rPr>
          <w:rFonts w:hint="default" w:ascii="Times New Roman" w:hAnsi="Times New Roman" w:cs="Times New Roman"/>
          <w:lang w:val="en-US" w:eastAsia="zh-CN"/>
        </w:rPr>
        <w:t xml:space="preserve">    </w:t>
      </w:r>
      <w:r>
        <w:rPr>
          <w:rFonts w:hint="default" w:ascii="Times New Roman" w:hAnsi="Times New Roman" w:cs="Times New Roman"/>
        </w:rPr>
        <w:drawing>
          <wp:inline distT="0" distB="0" distL="114300" distR="114300">
            <wp:extent cx="4572000" cy="2743200"/>
            <wp:effectExtent l="4445" t="4445" r="14605" b="14605"/>
            <wp:docPr id="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spacing w:line="600" w:lineRule="exact"/>
        <w:ind w:firstLine="640"/>
        <w:jc w:val="both"/>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1.因公出国（境）经费支出</w:t>
      </w:r>
      <w:r>
        <w:rPr>
          <w:rFonts w:hint="default" w:ascii="Times New Roman" w:hAnsi="Times New Roman" w:eastAsia="仿宋_GB2312" w:cs="Times New Roman"/>
          <w:b/>
          <w:bCs/>
          <w:sz w:val="32"/>
          <w:szCs w:val="32"/>
          <w:lang w:val="en-US" w:eastAsia="zh-CN"/>
        </w:rPr>
        <w:t>0</w:t>
      </w:r>
      <w:r>
        <w:rPr>
          <w:rFonts w:hint="default" w:ascii="Times New Roman" w:hAnsi="Times New Roman" w:eastAsia="仿宋_GB2312" w:cs="Times New Roman"/>
          <w:b/>
          <w:bCs/>
          <w:sz w:val="32"/>
          <w:szCs w:val="32"/>
        </w:rPr>
        <w:t>万元，完成预算</w:t>
      </w:r>
      <w:r>
        <w:rPr>
          <w:rFonts w:hint="default" w:ascii="Times New Roman" w:hAnsi="Times New Roman" w:eastAsia="仿宋_GB2312" w:cs="Times New Roman"/>
          <w:b/>
          <w:bCs/>
          <w:sz w:val="32"/>
          <w:szCs w:val="32"/>
          <w:lang w:val="en-US" w:eastAsia="zh-CN"/>
        </w:rPr>
        <w:t>100</w:t>
      </w:r>
      <w:r>
        <w:rPr>
          <w:rFonts w:hint="default" w:ascii="Times New Roman" w:hAnsi="Times New Roman" w:eastAsia="仿宋_GB2312" w:cs="Times New Roman"/>
          <w:b/>
          <w:bCs/>
          <w:sz w:val="32"/>
          <w:szCs w:val="32"/>
        </w:rPr>
        <w:t>%。</w:t>
      </w:r>
      <w:r>
        <w:rPr>
          <w:rFonts w:hint="default" w:ascii="Times New Roman" w:hAnsi="Times New Roman" w:eastAsia="仿宋_GB2312" w:cs="Times New Roman"/>
          <w:color w:val="auto"/>
          <w:kern w:val="2"/>
          <w:sz w:val="32"/>
          <w:szCs w:val="32"/>
          <w:highlight w:val="none"/>
          <w:lang w:val="en-US" w:eastAsia="zh-CN" w:bidi="ar-SA"/>
        </w:rPr>
        <w:t>全年安排因公出国（境）团组0次，出国（境）0人。</w:t>
      </w:r>
    </w:p>
    <w:p>
      <w:pPr>
        <w:spacing w:line="600" w:lineRule="exact"/>
        <w:ind w:firstLine="640"/>
        <w:jc w:val="both"/>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2.公务用车购置及运行维护费支出</w:t>
      </w:r>
      <w:r>
        <w:rPr>
          <w:rFonts w:hint="default" w:ascii="Times New Roman" w:hAnsi="Times New Roman" w:eastAsia="仿宋_GB2312" w:cs="Times New Roman"/>
          <w:b/>
          <w:bCs/>
          <w:sz w:val="32"/>
          <w:szCs w:val="32"/>
          <w:lang w:val="en-US" w:eastAsia="zh-CN"/>
        </w:rPr>
        <w:t>25.74</w:t>
      </w:r>
      <w:r>
        <w:rPr>
          <w:rFonts w:hint="default" w:ascii="Times New Roman" w:hAnsi="Times New Roman" w:eastAsia="仿宋_GB2312" w:cs="Times New Roman"/>
          <w:b/>
          <w:bCs/>
          <w:sz w:val="32"/>
          <w:szCs w:val="32"/>
        </w:rPr>
        <w:t>万元，完成预算</w:t>
      </w:r>
      <w:r>
        <w:rPr>
          <w:rFonts w:hint="default" w:ascii="Times New Roman" w:hAnsi="Times New Roman" w:eastAsia="仿宋_GB2312" w:cs="Times New Roman"/>
          <w:b/>
          <w:bCs/>
          <w:sz w:val="32"/>
          <w:szCs w:val="32"/>
          <w:lang w:val="en-US" w:eastAsia="zh-CN"/>
        </w:rPr>
        <w:t>100</w:t>
      </w:r>
      <w:r>
        <w:rPr>
          <w:rFonts w:hint="default" w:ascii="Times New Roman" w:hAnsi="Times New Roman" w:eastAsia="仿宋_GB2312" w:cs="Times New Roman"/>
          <w:b/>
          <w:bCs/>
          <w:sz w:val="32"/>
          <w:szCs w:val="32"/>
        </w:rPr>
        <w:t>%。</w:t>
      </w:r>
      <w:r>
        <w:rPr>
          <w:rFonts w:hint="default" w:ascii="Times New Roman" w:hAnsi="Times New Roman" w:eastAsia="仿宋_GB2312" w:cs="Times New Roman"/>
          <w:color w:val="auto"/>
          <w:kern w:val="2"/>
          <w:sz w:val="32"/>
          <w:szCs w:val="32"/>
          <w:highlight w:val="none"/>
          <w:lang w:val="en-US" w:eastAsia="zh-CN" w:bidi="ar-SA"/>
        </w:rPr>
        <w:t>公务用车购置及运行维护费支出决算较2024年度无变化。</w:t>
      </w:r>
      <w:r>
        <w:rPr>
          <w:rFonts w:hint="default" w:ascii="Times New Roman" w:hAnsi="Times New Roman" w:eastAsia="仿宋_GB2312" w:cs="Times New Roman"/>
          <w:sz w:val="32"/>
          <w:szCs w:val="32"/>
        </w:rPr>
        <w:t>其中：</w:t>
      </w:r>
    </w:p>
    <w:p>
      <w:pPr>
        <w:spacing w:line="600" w:lineRule="exact"/>
        <w:ind w:firstLine="640"/>
        <w:jc w:val="both"/>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b w:val="0"/>
          <w:bCs/>
          <w:sz w:val="32"/>
          <w:szCs w:val="32"/>
        </w:rPr>
        <w:t>公务用车购置支出0万元</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auto"/>
          <w:kern w:val="2"/>
          <w:sz w:val="32"/>
          <w:szCs w:val="32"/>
          <w:highlight w:val="none"/>
          <w:lang w:val="en-US" w:eastAsia="zh-CN" w:bidi="ar-SA"/>
        </w:rPr>
        <w:t>全年按规定更新购置公务用车0辆，其中：轿车0辆、金额0万元，越野车0辆、金额0万元，载客汽车0辆、金额0万元。截至2025年12月底，单位共有公务用车11辆，其中：执法执勤用车1辆、特种专业技术用车3辆，其他用车7辆。</w:t>
      </w:r>
    </w:p>
    <w:p>
      <w:pPr>
        <w:spacing w:line="600" w:lineRule="exact"/>
        <w:ind w:firstLine="640"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公务用车运行维护费支出25.74万元。主要用于统筹实施乡村振兴战略，牵头组织改善全市农村人居环境，指导全市乡村特色产业、农产品加工业（产地初加工）、休闲农业和乡村企业发展工作，种植业、畜牧业、渔业、农垦、农业机械化等农业各产业的监督管理等所需的公务用车燃料费、维修费、过路过桥费、保险费等支出。</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sz w:val="32"/>
          <w:szCs w:val="32"/>
        </w:rPr>
        <w:t>3.公务接待费支出</w:t>
      </w:r>
      <w:r>
        <w:rPr>
          <w:rFonts w:hint="default" w:ascii="Times New Roman" w:hAnsi="Times New Roman" w:eastAsia="仿宋_GB2312" w:cs="Times New Roman"/>
          <w:b/>
          <w:bCs/>
          <w:sz w:val="32"/>
          <w:szCs w:val="32"/>
          <w:lang w:val="en-US" w:eastAsia="zh-CN"/>
        </w:rPr>
        <w:t>3.53</w:t>
      </w:r>
      <w:r>
        <w:rPr>
          <w:rFonts w:hint="default" w:ascii="Times New Roman" w:hAnsi="Times New Roman" w:eastAsia="仿宋_GB2312" w:cs="Times New Roman"/>
          <w:b/>
          <w:bCs/>
          <w:sz w:val="32"/>
          <w:szCs w:val="32"/>
        </w:rPr>
        <w:t>万元，完成预算</w:t>
      </w:r>
      <w:r>
        <w:rPr>
          <w:rFonts w:hint="default" w:ascii="Times New Roman" w:hAnsi="Times New Roman" w:eastAsia="仿宋_GB2312" w:cs="Times New Roman"/>
          <w:b/>
          <w:bCs/>
          <w:sz w:val="32"/>
          <w:szCs w:val="32"/>
          <w:lang w:val="en-US" w:eastAsia="zh-CN"/>
        </w:rPr>
        <w:t>100</w:t>
      </w:r>
      <w:r>
        <w:rPr>
          <w:rFonts w:hint="default" w:ascii="Times New Roman" w:hAnsi="Times New Roman" w:eastAsia="仿宋_GB2312" w:cs="Times New Roman"/>
          <w:b/>
          <w:bCs/>
          <w:sz w:val="32"/>
          <w:szCs w:val="32"/>
        </w:rPr>
        <w:t>%。</w:t>
      </w:r>
      <w:r>
        <w:rPr>
          <w:rFonts w:hint="default" w:ascii="Times New Roman" w:hAnsi="Times New Roman" w:eastAsia="仿宋_GB2312" w:cs="Times New Roman"/>
          <w:color w:val="auto"/>
          <w:kern w:val="2"/>
          <w:sz w:val="32"/>
          <w:szCs w:val="32"/>
          <w:highlight w:val="none"/>
          <w:lang w:val="en-US" w:eastAsia="zh-CN" w:bidi="ar-SA"/>
        </w:rPr>
        <w:t>公务接待费支出决算比2024年度减少2.46万元，降低41.1%。主要原因是</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我局深入贯彻落实党政机关“过紧日子”各项要求，持续健全公务接待闭环管理制度，严格执行“三公”经费动态监测预警机制，从审批源头和报销审核两端同步压缩，切实做到非必要不接待、无公函不接待，公务接待支出实现压减。其中：</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（1）</w:t>
      </w:r>
      <w:r>
        <w:rPr>
          <w:rFonts w:hint="default" w:ascii="Times New Roman" w:hAnsi="Times New Roman" w:eastAsia="仿宋_GB2312" w:cs="Times New Roman"/>
          <w:color w:val="auto"/>
          <w:kern w:val="2"/>
          <w:sz w:val="32"/>
          <w:szCs w:val="32"/>
          <w:highlight w:val="none"/>
          <w:lang w:val="en-US" w:eastAsia="zh-CN" w:bidi="ar-SA"/>
        </w:rPr>
        <w:t>国内公务接待支出3.53万元，主要用于执行公务、开展业务活动开支的交通费、住宿费、用餐费等。国内公务接待30批次，240人次（不包括陪同人员），共计支出3.53万元，具体内容包括：热科院专家数次来攀调研及指导农业技术工作，共计0.3万元；省级农产品质量安全数次例行抽检工作，共计0.77万元；其余均系省厅及相关市州来攀检查调研相关工作产生。</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sz w:val="32"/>
          <w:szCs w:val="32"/>
        </w:rPr>
      </w:pP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外事接待支出0万元，外事接待0批次，0人次，共计支出0万元。</w:t>
      </w:r>
      <w:bookmarkStart w:id="82" w:name="_Toc15377218"/>
      <w:bookmarkStart w:id="83" w:name="_Toc15396610"/>
    </w:p>
    <w:p>
      <w:pPr>
        <w:spacing w:line="600" w:lineRule="exact"/>
        <w:ind w:firstLine="640"/>
        <w:jc w:val="both"/>
        <w:outlineLvl w:val="1"/>
        <w:rPr>
          <w:rStyle w:val="29"/>
          <w:rFonts w:hint="default" w:ascii="Times New Roman" w:hAnsi="Times New Roman" w:eastAsia="黑体" w:cs="Times New Roman"/>
        </w:rPr>
      </w:pPr>
      <w:bookmarkStart w:id="84" w:name="_Toc864269712_WPSOffice_Level2"/>
      <w:r>
        <w:rPr>
          <w:rFonts w:hint="default" w:ascii="Times New Roman" w:hAnsi="Times New Roman" w:eastAsia="黑体" w:cs="Times New Roman"/>
          <w:sz w:val="32"/>
          <w:szCs w:val="32"/>
        </w:rPr>
        <w:t>八、</w:t>
      </w:r>
      <w:r>
        <w:rPr>
          <w:rStyle w:val="29"/>
          <w:rFonts w:hint="default" w:ascii="Times New Roman" w:hAnsi="Times New Roman" w:eastAsia="黑体" w:cs="Times New Roman"/>
          <w:b w:val="0"/>
        </w:rPr>
        <w:t>政府性基金预算支出决算情况说明</w:t>
      </w:r>
      <w:bookmarkEnd w:id="82"/>
      <w:bookmarkEnd w:id="83"/>
      <w:bookmarkEnd w:id="84"/>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color w:val="auto"/>
          <w:kern w:val="2"/>
          <w:sz w:val="32"/>
          <w:szCs w:val="32"/>
          <w:highlight w:val="none"/>
          <w:lang w:val="en-US" w:eastAsia="zh-CN" w:bidi="ar-SA"/>
        </w:rPr>
        <w:t>2025年度政府性基金预算财政拨款支出28.9万元，占本年支出合计的0.7%。与2024年度相比，政府性基金预算财政拨款支出减少87.74万元，下降75.2%。主要变动原因是</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2025年度年初项目预算政府性基金预算财政拨款收入较上年减少。</w:t>
      </w:r>
    </w:p>
    <w:p>
      <w:pPr>
        <w:spacing w:line="600" w:lineRule="exact"/>
        <w:ind w:left="630"/>
        <w:jc w:val="both"/>
        <w:outlineLvl w:val="1"/>
        <w:rPr>
          <w:rStyle w:val="29"/>
          <w:rFonts w:hint="default" w:ascii="Times New Roman" w:hAnsi="Times New Roman" w:eastAsia="黑体" w:cs="Times New Roman"/>
          <w:b w:val="0"/>
        </w:rPr>
      </w:pPr>
      <w:bookmarkStart w:id="85" w:name="_Toc15377219"/>
      <w:bookmarkStart w:id="86" w:name="_Toc1641155463_WPSOffice_Level2"/>
      <w:bookmarkStart w:id="87" w:name="_Toc15396611"/>
      <w:r>
        <w:rPr>
          <w:rStyle w:val="29"/>
          <w:rFonts w:hint="default" w:ascii="Times New Roman" w:hAnsi="Times New Roman" w:eastAsia="黑体" w:cs="Times New Roman"/>
          <w:b w:val="0"/>
        </w:rPr>
        <w:t>九、国有资本经营预算支出决算情况说明</w:t>
      </w:r>
      <w:bookmarkEnd w:id="85"/>
      <w:bookmarkEnd w:id="86"/>
      <w:bookmarkEnd w:id="87"/>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2025年度国有资本经营预算财政拨款支出0万元。</w:t>
      </w:r>
    </w:p>
    <w:p>
      <w:pPr>
        <w:spacing w:line="600" w:lineRule="exact"/>
        <w:ind w:left="630"/>
        <w:jc w:val="both"/>
        <w:outlineLvl w:val="1"/>
        <w:rPr>
          <w:rStyle w:val="29"/>
          <w:rFonts w:hint="default" w:ascii="Times New Roman" w:hAnsi="Times New Roman" w:eastAsia="黑体" w:cs="Times New Roman"/>
          <w:b w:val="0"/>
        </w:rPr>
      </w:pPr>
      <w:bookmarkStart w:id="88" w:name="_Toc1961125836_WPSOffice_Level2"/>
      <w:bookmarkStart w:id="89" w:name="_Toc15377221"/>
      <w:bookmarkStart w:id="90" w:name="_Toc15396612"/>
      <w:r>
        <w:rPr>
          <w:rStyle w:val="29"/>
          <w:rFonts w:hint="default" w:ascii="Times New Roman" w:hAnsi="Times New Roman" w:eastAsia="黑体" w:cs="Times New Roman"/>
          <w:b w:val="0"/>
        </w:rPr>
        <w:t>十、其他重要事项的情况说明</w:t>
      </w:r>
      <w:bookmarkEnd w:id="88"/>
      <w:bookmarkEnd w:id="89"/>
      <w:bookmarkEnd w:id="90"/>
    </w:p>
    <w:p>
      <w:pPr>
        <w:spacing w:line="600" w:lineRule="exact"/>
        <w:ind w:firstLine="642" w:firstLineChars="200"/>
        <w:jc w:val="both"/>
        <w:outlineLvl w:val="2"/>
        <w:rPr>
          <w:rFonts w:hint="default" w:ascii="Times New Roman" w:hAnsi="Times New Roman" w:eastAsia="楷体_GB2312" w:cs="Times New Roman"/>
          <w:b/>
          <w:sz w:val="32"/>
          <w:szCs w:val="32"/>
        </w:rPr>
      </w:pPr>
      <w:bookmarkStart w:id="91" w:name="_Toc15377222"/>
      <w:r>
        <w:rPr>
          <w:rFonts w:hint="default" w:ascii="Times New Roman" w:hAnsi="Times New Roman" w:eastAsia="楷体_GB2312" w:cs="Times New Roman"/>
          <w:b/>
          <w:sz w:val="32"/>
          <w:szCs w:val="32"/>
        </w:rPr>
        <w:t>（一）机关运行经费支出情况</w:t>
      </w:r>
      <w:bookmarkEnd w:id="91"/>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color w:val="auto"/>
          <w:kern w:val="2"/>
          <w:sz w:val="32"/>
          <w:szCs w:val="32"/>
          <w:highlight w:val="none"/>
          <w:lang w:val="en-US" w:eastAsia="zh-CN" w:bidi="ar-SA"/>
        </w:rPr>
        <w:t>2025年度，四川省攀枝花市农业农村局机关运行经费支出</w:t>
      </w:r>
      <w:r>
        <w:rPr>
          <w:rFonts w:hint="default" w:eastAsia="仿宋_GB2312" w:cs="Times New Roman"/>
          <w:color w:val="auto"/>
          <w:kern w:val="2"/>
          <w:sz w:val="32"/>
          <w:szCs w:val="32"/>
          <w:highlight w:val="none"/>
          <w:lang w:val="en" w:eastAsia="zh-CN" w:bidi="ar-SA"/>
        </w:rPr>
        <w:t>268.8</w:t>
      </w:r>
      <w:r>
        <w:rPr>
          <w:rFonts w:hint="default" w:ascii="Times New Roman" w:hAnsi="Times New Roman" w:eastAsia="仿宋_GB2312" w:cs="Times New Roman"/>
          <w:color w:val="auto"/>
          <w:kern w:val="2"/>
          <w:sz w:val="32"/>
          <w:szCs w:val="32"/>
          <w:highlight w:val="none"/>
          <w:lang w:val="en-US" w:eastAsia="zh-CN" w:bidi="ar-SA"/>
        </w:rPr>
        <w:t>万元，比2024年度减少</w:t>
      </w:r>
      <w:r>
        <w:rPr>
          <w:rFonts w:hint="default" w:eastAsia="仿宋_GB2312" w:cs="Times New Roman"/>
          <w:color w:val="auto"/>
          <w:kern w:val="2"/>
          <w:sz w:val="32"/>
          <w:szCs w:val="32"/>
          <w:highlight w:val="none"/>
          <w:lang w:val="en" w:eastAsia="zh-CN" w:bidi="ar-SA"/>
        </w:rPr>
        <w:t>134.41</w:t>
      </w:r>
      <w:r>
        <w:rPr>
          <w:rFonts w:hint="default" w:ascii="Times New Roman" w:hAnsi="Times New Roman" w:eastAsia="仿宋_GB2312" w:cs="Times New Roman"/>
          <w:color w:val="auto"/>
          <w:kern w:val="2"/>
          <w:sz w:val="32"/>
          <w:szCs w:val="32"/>
          <w:highlight w:val="none"/>
          <w:lang w:val="en-US" w:eastAsia="zh-CN" w:bidi="ar-SA"/>
        </w:rPr>
        <w:t>万元，下降</w:t>
      </w:r>
      <w:r>
        <w:rPr>
          <w:rFonts w:hint="default" w:eastAsia="仿宋_GB2312" w:cs="Times New Roman"/>
          <w:color w:val="auto"/>
          <w:kern w:val="2"/>
          <w:sz w:val="32"/>
          <w:szCs w:val="32"/>
          <w:highlight w:val="none"/>
          <w:lang w:val="en" w:eastAsia="zh-CN" w:bidi="ar-SA"/>
        </w:rPr>
        <w:t>33.3</w:t>
      </w:r>
      <w:r>
        <w:rPr>
          <w:rFonts w:hint="default" w:ascii="Times New Roman" w:hAnsi="Times New Roman" w:eastAsia="仿宋_GB2312" w:cs="Times New Roman"/>
          <w:color w:val="auto"/>
          <w:kern w:val="2"/>
          <w:sz w:val="32"/>
          <w:szCs w:val="32"/>
          <w:highlight w:val="none"/>
          <w:lang w:val="en-US" w:eastAsia="zh-CN" w:bidi="ar-SA"/>
        </w:rPr>
        <w:t>%。主要原因是</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 w:eastAsia="zh-CN" w:bidi="ar-SA"/>
        </w:rPr>
        <w:t>严格落实</w:t>
      </w:r>
      <w:r>
        <w:rPr>
          <w:rFonts w:hint="default" w:ascii="Times New Roman" w:hAnsi="Times New Roman" w:eastAsia="仿宋_GB2312" w:cs="Times New Roman"/>
          <w:color w:val="auto"/>
          <w:kern w:val="2"/>
          <w:sz w:val="32"/>
          <w:szCs w:val="32"/>
          <w:highlight w:val="none"/>
          <w:lang w:val="en-US" w:eastAsia="zh-CN" w:bidi="ar-SA"/>
        </w:rPr>
        <w:t>“过紧日子”</w:t>
      </w:r>
      <w:r>
        <w:rPr>
          <w:rFonts w:hint="default" w:ascii="Times New Roman" w:hAnsi="Times New Roman" w:eastAsia="仿宋_GB2312" w:cs="Times New Roman"/>
          <w:color w:val="auto"/>
          <w:kern w:val="2"/>
          <w:sz w:val="32"/>
          <w:szCs w:val="32"/>
          <w:highlight w:val="none"/>
          <w:lang w:val="en" w:eastAsia="zh-CN" w:bidi="ar-SA"/>
        </w:rPr>
        <w:t>要求，持续压减一般性支出，同时优化办公设备运维和能耗管理，有效降低日常运行成本。</w:t>
      </w:r>
    </w:p>
    <w:p>
      <w:pPr>
        <w:spacing w:line="600" w:lineRule="exact"/>
        <w:ind w:firstLine="642" w:firstLineChars="200"/>
        <w:jc w:val="both"/>
        <w:outlineLvl w:val="2"/>
        <w:rPr>
          <w:rFonts w:hint="default" w:ascii="Times New Roman" w:hAnsi="Times New Roman" w:eastAsia="楷体_GB2312" w:cs="Times New Roman"/>
          <w:b/>
          <w:sz w:val="32"/>
          <w:szCs w:val="32"/>
        </w:rPr>
      </w:pPr>
      <w:bookmarkStart w:id="92" w:name="_Toc15377223"/>
      <w:r>
        <w:rPr>
          <w:rFonts w:hint="default" w:ascii="Times New Roman" w:hAnsi="Times New Roman" w:eastAsia="楷体_GB2312" w:cs="Times New Roman"/>
          <w:b/>
          <w:sz w:val="32"/>
          <w:szCs w:val="32"/>
        </w:rPr>
        <w:t>（二）政府采购支出情况</w:t>
      </w:r>
      <w:bookmarkEnd w:id="92"/>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color w:val="auto"/>
          <w:kern w:val="2"/>
          <w:sz w:val="32"/>
          <w:szCs w:val="32"/>
          <w:highlight w:val="none"/>
          <w:lang w:val="en-US" w:eastAsia="zh-CN" w:bidi="ar-SA"/>
        </w:rPr>
        <w:t>2025年度，四川省攀枝花市农业农村局政府采购支出总额314.98万元，其中：政府采购货物支出43.56万元、政府采购工程支出0万元、政府采购服务支出271.42万元。主要用于农业经理人“百千万”培养计划项目人才服务采购、2025市级财政衔接推进乡村振兴补助资金项目农林牧渔产品采购、公务用车维护支出采购。授予中小企业合同金额61.35万元，占政府采购支出总额的19.5%，其中：授予小微企业合同金额52.54万元，占政府采购支出总额的16.7%。</w:t>
      </w:r>
    </w:p>
    <w:p>
      <w:pPr>
        <w:spacing w:line="600" w:lineRule="exact"/>
        <w:ind w:firstLine="642" w:firstLineChars="200"/>
        <w:jc w:val="both"/>
        <w:outlineLvl w:val="2"/>
        <w:rPr>
          <w:rFonts w:hint="default" w:ascii="Times New Roman" w:hAnsi="Times New Roman" w:eastAsia="楷体_GB2312" w:cs="Times New Roman"/>
          <w:b/>
          <w:sz w:val="32"/>
          <w:szCs w:val="32"/>
        </w:rPr>
      </w:pPr>
      <w:bookmarkStart w:id="93" w:name="_Toc15377224"/>
      <w:r>
        <w:rPr>
          <w:rFonts w:hint="default" w:ascii="Times New Roman" w:hAnsi="Times New Roman" w:eastAsia="楷体_GB2312" w:cs="Times New Roman"/>
          <w:b/>
          <w:sz w:val="32"/>
          <w:szCs w:val="32"/>
        </w:rPr>
        <w:t>（三）国有资产占有使用情况</w:t>
      </w:r>
      <w:bookmarkEnd w:id="93"/>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color w:val="auto"/>
          <w:kern w:val="2"/>
          <w:sz w:val="32"/>
          <w:szCs w:val="32"/>
          <w:highlight w:val="none"/>
          <w:lang w:val="en-US" w:eastAsia="zh-CN" w:bidi="ar-SA"/>
        </w:rPr>
        <w:t>截至2025年12月31日，四川省攀枝花市农业农村局共有车辆11辆，其中：主要负责人用车0辆、机要通信用车0辆、应急保障用车0辆、特种专业技术用车3辆、执法执勤用车1辆、其他用车7辆，其他用车主要是用于日常下乡、外出检查等需派车前往的工作。单价100万元（含）以上设备（不含车辆）0台（套）。</w:t>
      </w:r>
    </w:p>
    <w:p>
      <w:pPr>
        <w:spacing w:line="600" w:lineRule="exact"/>
        <w:ind w:firstLine="642" w:firstLineChars="200"/>
        <w:jc w:val="both"/>
        <w:outlineLvl w:val="2"/>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（四）预算绩效管理情况</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根据预算绩效管理要求，本单位在2025年度预算编制阶段，组织对烤烟保险费、长江禁捕及资源保护等20个项目开展了预算事前绩效评估，对20个项目编制了绩效目标，预算执行过程中，选取20个项目开展绩效监控。</w:t>
      </w:r>
    </w:p>
    <w:p>
      <w:pPr>
        <w:spacing w:line="600" w:lineRule="exact"/>
        <w:ind w:firstLine="640"/>
        <w:jc w:val="both"/>
        <w:rPr>
          <w:rFonts w:hint="default" w:ascii="Times New Roman" w:hAnsi="Times New Roman" w:eastAsia="仿宋_GB2312" w:cs="Times New Roman"/>
          <w:sz w:val="32"/>
          <w:szCs w:val="32"/>
        </w:rPr>
      </w:pPr>
    </w:p>
    <w:p>
      <w:pPr>
        <w:spacing w:line="600" w:lineRule="exact"/>
        <w:jc w:val="both"/>
        <w:outlineLvl w:val="0"/>
        <w:rPr>
          <w:rFonts w:hint="default" w:ascii="Times New Roman" w:hAnsi="Times New Roman" w:eastAsia="黑体" w:cs="Times New Roman"/>
          <w:sz w:val="44"/>
          <w:szCs w:val="44"/>
        </w:rPr>
      </w:pPr>
      <w:bookmarkStart w:id="94" w:name="_Toc15377225"/>
      <w:bookmarkStart w:id="95" w:name="_Toc15396613"/>
    </w:p>
    <w:p>
      <w:pPr>
        <w:spacing w:line="600" w:lineRule="exact"/>
        <w:jc w:val="both"/>
        <w:outlineLvl w:val="0"/>
        <w:rPr>
          <w:rFonts w:hint="default" w:ascii="Times New Roman" w:hAnsi="Times New Roman" w:eastAsia="黑体" w:cs="Times New Roman"/>
          <w:sz w:val="44"/>
          <w:szCs w:val="44"/>
        </w:rPr>
      </w:pPr>
    </w:p>
    <w:p>
      <w:pPr>
        <w:spacing w:line="600" w:lineRule="exact"/>
        <w:jc w:val="both"/>
        <w:outlineLvl w:val="0"/>
        <w:rPr>
          <w:rFonts w:hint="default" w:ascii="Times New Roman" w:hAnsi="Times New Roman" w:eastAsia="黑体" w:cs="Times New Roman"/>
          <w:sz w:val="44"/>
          <w:szCs w:val="44"/>
        </w:rPr>
      </w:pPr>
    </w:p>
    <w:p>
      <w:pPr>
        <w:spacing w:line="600" w:lineRule="exact"/>
        <w:jc w:val="both"/>
        <w:outlineLvl w:val="0"/>
        <w:rPr>
          <w:rFonts w:hint="default" w:ascii="Times New Roman" w:hAnsi="Times New Roman" w:eastAsia="黑体" w:cs="Times New Roman"/>
          <w:sz w:val="44"/>
          <w:szCs w:val="44"/>
        </w:rPr>
      </w:pPr>
    </w:p>
    <w:p>
      <w:pPr>
        <w:spacing w:line="600" w:lineRule="exact"/>
        <w:jc w:val="both"/>
        <w:outlineLvl w:val="0"/>
        <w:rPr>
          <w:rFonts w:hint="default" w:ascii="Times New Roman" w:hAnsi="Times New Roman" w:eastAsia="黑体" w:cs="Times New Roman"/>
          <w:sz w:val="44"/>
          <w:szCs w:val="44"/>
        </w:rPr>
      </w:pPr>
    </w:p>
    <w:p>
      <w:pPr>
        <w:spacing w:line="600" w:lineRule="exact"/>
        <w:jc w:val="both"/>
        <w:outlineLvl w:val="0"/>
        <w:rPr>
          <w:rFonts w:hint="default" w:ascii="Times New Roman" w:hAnsi="Times New Roman" w:eastAsia="黑体" w:cs="Times New Roman"/>
          <w:sz w:val="44"/>
          <w:szCs w:val="44"/>
        </w:rPr>
      </w:pPr>
    </w:p>
    <w:p>
      <w:pPr>
        <w:spacing w:line="600" w:lineRule="exact"/>
        <w:jc w:val="both"/>
        <w:outlineLvl w:val="0"/>
        <w:rPr>
          <w:rFonts w:hint="default" w:ascii="Times New Roman" w:hAnsi="Times New Roman" w:eastAsia="黑体" w:cs="Times New Roman"/>
          <w:sz w:val="44"/>
          <w:szCs w:val="44"/>
        </w:rPr>
      </w:pPr>
    </w:p>
    <w:p>
      <w:pPr>
        <w:spacing w:line="600" w:lineRule="exact"/>
        <w:jc w:val="both"/>
        <w:outlineLvl w:val="0"/>
        <w:rPr>
          <w:rFonts w:hint="default" w:ascii="Times New Roman" w:hAnsi="Times New Roman" w:eastAsia="黑体" w:cs="Times New Roman"/>
          <w:sz w:val="44"/>
          <w:szCs w:val="44"/>
        </w:rPr>
      </w:pPr>
    </w:p>
    <w:p>
      <w:pPr>
        <w:spacing w:line="600" w:lineRule="exact"/>
        <w:jc w:val="center"/>
        <w:outlineLvl w:val="0"/>
        <w:rPr>
          <w:rFonts w:hint="default" w:ascii="Times New Roman" w:hAnsi="Times New Roman" w:eastAsia="黑体" w:cs="Times New Roman"/>
          <w:sz w:val="44"/>
          <w:szCs w:val="44"/>
        </w:rPr>
      </w:pPr>
      <w:bookmarkStart w:id="96" w:name="_Toc1072541102_WPSOffice_Level1"/>
      <w:r>
        <w:rPr>
          <w:rFonts w:hint="default" w:ascii="Times New Roman" w:hAnsi="Times New Roman" w:eastAsia="黑体" w:cs="Times New Roman"/>
          <w:sz w:val="44"/>
          <w:szCs w:val="44"/>
        </w:rPr>
        <w:t>第三部分  名词解释</w:t>
      </w:r>
      <w:bookmarkEnd w:id="94"/>
      <w:bookmarkEnd w:id="95"/>
      <w:bookmarkEnd w:id="96"/>
    </w:p>
    <w:p>
      <w:pPr>
        <w:spacing w:line="600" w:lineRule="exact"/>
        <w:jc w:val="both"/>
        <w:rPr>
          <w:rFonts w:hint="default" w:ascii="Times New Roman" w:hAnsi="Times New Roman" w:cs="Times New Roman"/>
          <w:b/>
          <w:sz w:val="44"/>
          <w:szCs w:val="44"/>
        </w:rPr>
      </w:pPr>
    </w:p>
    <w:p>
      <w:pPr>
        <w:spacing w:line="600" w:lineRule="exact"/>
        <w:ind w:firstLine="64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1.财政拨款收入：指单位从同级财政部门取得的财政预算资金。</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2.其他收入：指单位取得的除上述收入以外的各项收入。主要是银行利息收入。</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3.年初结转和结余：指以前年度尚未完成、结转到本年按有关规定继续使用的资金。</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4.结余分配：指事业单位按照会计制度规定缴纳的所得税、提取的专用结余以及转入非财政拨款结余的金额等。</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5.年末结转和结余：指单位按有关规定结转到下年或以后年度继续使用的资金。</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6.一般公共服务（类）组织事务（款）其他组织事务支出（项）</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用于援藏援彝干部生活补助支出。</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7.社会保障和就业（类）行政事业单位养老支出（款）行政单位离退休（项）</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 xml:space="preserve"> 反映行政单位（包括实行公务员管理的事业单位）开支的离退休经费。</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8.社会保障和就业（类）行政事业单位养老支出（款）事业单位离退休（项）</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 xml:space="preserve"> 反映事业单位开支的离退休经费。</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9.社会保障和就业（类）行政事业单位养老支出（款）机关事业单位基本养老保险缴费支出（项）</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 xml:space="preserve"> 反映机关事业单位实施养老保险制度由单位缴纳的基本养老保险费支出。</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10.社会保障和就业（类）社会福利（款）儿童福利（项）</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 xml:space="preserve"> 反映对儿童提供福利服务方面的支出。</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11.农林水支出（类）农业农村（款）行政运行（项）</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反映行政单位（包括实行公务员管理的事业单位）的基本支出。</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12.农林水支出（类）农业农村（款）事业运行（项）</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反映用于农业事业单位基本支出，事业单位设施、系统运行与资产维护等方面的支出。</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13.农林水支出（类）农业农村（款）农产品质量安全（项）</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反映用于农产品及其投入品的质量安全评估、监测、抽查、认证、应急处置，相关标准的制定、修订、实施、监管等方面的支出。</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14.农林水支出（类）农业农村（款）耕地建设与利用（项）</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反映用于农田建设和田间水利相关工程建设、盐碱地综合利用、黑土地保护、耕地轮作休耕、耕地质量提升等方面的支出。</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15.农林水支出（类）农业农村（款）其他农业农村支出（项）</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反映其他用于农业农村方面的支出。</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16.住房保障支出（类）住房改革支出（款）住房公积金（项）</w:t>
      </w:r>
      <w:r>
        <w:rPr>
          <w:rFonts w:hint="default" w:eastAsia="仿宋_GB2312" w:cs="Times New Roman"/>
          <w:color w:val="auto"/>
          <w:kern w:val="2"/>
          <w:sz w:val="32"/>
          <w:szCs w:val="32"/>
          <w:highlight w:val="none"/>
          <w:lang w:val="en" w:eastAsia="zh-CN" w:bidi="ar-SA"/>
        </w:rPr>
        <w:t>：</w:t>
      </w:r>
      <w:r>
        <w:rPr>
          <w:rFonts w:hint="default" w:ascii="Times New Roman" w:hAnsi="Times New Roman" w:eastAsia="仿宋_GB2312" w:cs="Times New Roman"/>
          <w:color w:val="auto"/>
          <w:kern w:val="2"/>
          <w:sz w:val="32"/>
          <w:szCs w:val="32"/>
          <w:highlight w:val="none"/>
          <w:lang w:val="en-US" w:eastAsia="zh-CN" w:bidi="ar-SA"/>
        </w:rPr>
        <w:t>反映行政事业单位按人力资源和社会保障部、财政部规定的基本工资和津贴补贴以及规定比例为职工缴纳的住房公积金。</w:t>
      </w:r>
    </w:p>
    <w:p>
      <w:pPr>
        <w:spacing w:line="600" w:lineRule="exact"/>
        <w:ind w:firstLine="64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17</w:t>
      </w:r>
      <w:r>
        <w:rPr>
          <w:rFonts w:hint="default" w:ascii="Times New Roman" w:hAnsi="Times New Roman" w:eastAsia="仿宋_GB2312" w:cs="Times New Roman"/>
          <w:sz w:val="32"/>
          <w:szCs w:val="32"/>
        </w:rPr>
        <w:t>.基本支出：指为保障机构正常运转、完成日常工作任务而发生的人员支出和公用支出。</w:t>
      </w:r>
    </w:p>
    <w:p>
      <w:pPr>
        <w:spacing w:line="600" w:lineRule="exact"/>
        <w:ind w:firstLine="64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18</w:t>
      </w:r>
      <w:r>
        <w:rPr>
          <w:rFonts w:hint="default" w:ascii="Times New Roman" w:hAnsi="Times New Roman" w:eastAsia="仿宋_GB2312" w:cs="Times New Roman"/>
          <w:sz w:val="32"/>
          <w:szCs w:val="32"/>
        </w:rPr>
        <w:t xml:space="preserve">.项目支出：指在基本支出之外为完成特定行政任务和事业发展目标所发生的支出。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仿宋_GB2312" w:cs="Times New Roman"/>
          <w:sz w:val="32"/>
          <w:szCs w:val="32"/>
          <w:lang w:val="en-US" w:eastAsia="zh-CN"/>
        </w:rPr>
        <w:t>19</w:t>
      </w:r>
      <w:r>
        <w:rPr>
          <w:rFonts w:hint="default" w:ascii="Times New Roman" w:hAnsi="Times New Roman" w:eastAsia="仿宋_GB2312" w:cs="Times New Roman"/>
          <w:sz w:val="32"/>
          <w:szCs w:val="32"/>
        </w:rPr>
        <w:t>.“三公”经费：指部门用财政拨款安排的因公出国（境）费、公务用车购置及运行费和公务接待费。其中，因公出国（境）费反映单位公务出国（境）的国际旅费、国外城市间交通费、住宿费、伙食费、培训费、公杂费等支出；</w:t>
      </w:r>
      <w:r>
        <w:rPr>
          <w:rFonts w:hint="eastAsia" w:ascii="Times New Roman" w:hAnsi="Times New Roman" w:eastAsia="仿宋_GB2312" w:cs="仿宋_GB2312"/>
          <w:color w:val="auto"/>
          <w:kern w:val="2"/>
          <w:sz w:val="32"/>
          <w:szCs w:val="32"/>
          <w:highlight w:val="none"/>
          <w:lang w:val="en-US" w:eastAsia="zh-CN" w:bidi="ar-SA"/>
        </w:rPr>
        <w:t>公务用车购置及运行费反映单位</w:t>
      </w:r>
      <w:r>
        <w:rPr>
          <w:rFonts w:hint="eastAsia" w:eastAsia="仿宋_GB2312" w:cs="仿宋_GB2312"/>
          <w:color w:val="auto"/>
          <w:kern w:val="2"/>
          <w:sz w:val="32"/>
          <w:szCs w:val="32"/>
          <w:highlight w:val="none"/>
          <w:lang w:val="en-US" w:eastAsia="zh-CN" w:bidi="ar-SA"/>
        </w:rPr>
        <w:t>按规定保留的公务用车燃料费、新能源汽车充电费、维修费、过桥过路费、保险费、安全奖励费等支出</w:t>
      </w:r>
      <w:r>
        <w:rPr>
          <w:rFonts w:hint="eastAsia" w:ascii="Times New Roman" w:hAnsi="Times New Roman" w:eastAsia="仿宋_GB2312" w:cs="仿宋_GB2312"/>
          <w:color w:val="auto"/>
          <w:kern w:val="2"/>
          <w:sz w:val="32"/>
          <w:szCs w:val="32"/>
          <w:highlight w:val="none"/>
          <w:lang w:val="en-US" w:eastAsia="zh-CN" w:bidi="ar-SA"/>
        </w:rPr>
        <w:t>；公务接待费反映单位按规定开支的各类公务接待（含外宾接待）支出。</w:t>
      </w:r>
    </w:p>
    <w:p>
      <w:pPr>
        <w:spacing w:line="600" w:lineRule="exact"/>
        <w:ind w:firstLine="64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rPr>
          <w:rStyle w:val="28"/>
          <w:rFonts w:hint="default" w:ascii="Times New Roman" w:hAnsi="Times New Roman" w:eastAsia="黑体" w:cs="Times New Roman"/>
          <w:b w:val="0"/>
        </w:rPr>
      </w:pPr>
      <w:bookmarkStart w:id="97" w:name="_Toc15377226"/>
      <w:r>
        <w:rPr>
          <w:rFonts w:hint="default" w:ascii="Times New Roman" w:hAnsi="Times New Roman" w:eastAsia="仿宋_GB2312" w:cs="Times New Roman"/>
          <w:sz w:val="32"/>
          <w:szCs w:val="32"/>
        </w:rPr>
        <w:br w:type="page"/>
      </w:r>
      <w:bookmarkStart w:id="98" w:name="_Toc15396614"/>
      <w:bookmarkStart w:id="99" w:name="_Toc1969383725_WPSOffice_Level1"/>
      <w:r>
        <w:rPr>
          <w:rFonts w:hint="default" w:ascii="Times New Roman" w:hAnsi="Times New Roman" w:eastAsia="黑体" w:cs="Times New Roman"/>
          <w:sz w:val="44"/>
          <w:szCs w:val="44"/>
        </w:rPr>
        <w:t>第四部分  附件</w:t>
      </w:r>
      <w:bookmarkEnd w:id="98"/>
      <w:bookmarkEnd w:id="99"/>
    </w:p>
    <w:p>
      <w:pPr>
        <w:spacing w:line="572" w:lineRule="exact"/>
        <w:jc w:val="left"/>
        <w:outlineLvl w:val="0"/>
        <w:rPr>
          <w:rFonts w:hint="default" w:ascii="Times New Roman" w:hAnsi="Times New Roman" w:eastAsia="黑体" w:cs="Times New Roman"/>
          <w:color w:val="FF0000"/>
          <w:sz w:val="32"/>
          <w:szCs w:val="32"/>
        </w:rPr>
      </w:pPr>
      <w:r>
        <w:rPr>
          <w:rFonts w:hint="default" w:ascii="Times New Roman" w:hAnsi="Times New Roman" w:eastAsia="仿宋_GB2312" w:cs="Times New Roman"/>
          <w:b w:val="0"/>
          <w:bCs w:val="0"/>
          <w:kern w:val="0"/>
          <w:position w:val="0"/>
          <w:sz w:val="32"/>
          <w:szCs w:val="32"/>
          <w:highlight w:val="none"/>
          <w:lang w:val="en-US" w:eastAsia="zh-CN" w:bidi="ar-SA"/>
        </w:rPr>
        <w:t>单位预算项目支出绩效自评表（2025年度）见附件3</w:t>
      </w:r>
    </w:p>
    <w:p>
      <w:pPr>
        <w:pStyle w:val="13"/>
        <w:rPr>
          <w:rFonts w:hint="default" w:ascii="Times New Roman" w:hAnsi="Times New Roman" w:cs="Times New Roman"/>
        </w:rPr>
      </w:pPr>
    </w:p>
    <w:p>
      <w:pPr>
        <w:widowControl/>
        <w:jc w:val="center"/>
        <w:rPr>
          <w:rFonts w:hint="default" w:ascii="Times New Roman" w:hAnsi="Times New Roman" w:eastAsia="黑体" w:cs="Times New Roman"/>
          <w:sz w:val="44"/>
          <w:szCs w:val="44"/>
        </w:rPr>
      </w:pPr>
      <w:bookmarkStart w:id="100" w:name="_Toc15396618"/>
    </w:p>
    <w:p>
      <w:pPr>
        <w:widowControl/>
        <w:jc w:val="center"/>
        <w:rPr>
          <w:rFonts w:hint="default" w:ascii="Times New Roman" w:hAnsi="Times New Roman" w:eastAsia="黑体" w:cs="Times New Roman"/>
          <w:sz w:val="44"/>
          <w:szCs w:val="44"/>
        </w:rPr>
      </w:pPr>
    </w:p>
    <w:p>
      <w:pPr>
        <w:widowControl/>
        <w:jc w:val="center"/>
        <w:rPr>
          <w:rFonts w:hint="default" w:ascii="Times New Roman" w:hAnsi="Times New Roman" w:eastAsia="黑体" w:cs="Times New Roman"/>
          <w:sz w:val="44"/>
          <w:szCs w:val="44"/>
        </w:rPr>
      </w:pPr>
    </w:p>
    <w:p>
      <w:pPr>
        <w:widowControl/>
        <w:jc w:val="center"/>
        <w:rPr>
          <w:rFonts w:hint="default" w:ascii="Times New Roman" w:hAnsi="Times New Roman" w:eastAsia="黑体" w:cs="Times New Roman"/>
          <w:sz w:val="44"/>
          <w:szCs w:val="44"/>
        </w:rPr>
      </w:pPr>
    </w:p>
    <w:p>
      <w:pPr>
        <w:widowControl/>
        <w:jc w:val="center"/>
        <w:rPr>
          <w:rFonts w:hint="default" w:ascii="Times New Roman" w:hAnsi="Times New Roman" w:eastAsia="黑体" w:cs="Times New Roman"/>
          <w:sz w:val="44"/>
          <w:szCs w:val="44"/>
        </w:rPr>
      </w:pPr>
    </w:p>
    <w:p>
      <w:pPr>
        <w:widowControl/>
        <w:jc w:val="center"/>
        <w:rPr>
          <w:rFonts w:hint="default" w:ascii="Times New Roman" w:hAnsi="Times New Roman" w:eastAsia="黑体" w:cs="Times New Roman"/>
          <w:sz w:val="44"/>
          <w:szCs w:val="44"/>
        </w:rPr>
      </w:pPr>
    </w:p>
    <w:p>
      <w:pPr>
        <w:widowControl/>
        <w:jc w:val="center"/>
        <w:rPr>
          <w:rFonts w:hint="default" w:ascii="Times New Roman" w:hAnsi="Times New Roman" w:eastAsia="黑体" w:cs="Times New Roman"/>
          <w:sz w:val="44"/>
          <w:szCs w:val="44"/>
        </w:rPr>
      </w:pPr>
    </w:p>
    <w:p>
      <w:pPr>
        <w:widowControl/>
        <w:jc w:val="center"/>
        <w:rPr>
          <w:rFonts w:hint="default" w:ascii="Times New Roman" w:hAnsi="Times New Roman" w:eastAsia="黑体" w:cs="Times New Roman"/>
          <w:sz w:val="44"/>
          <w:szCs w:val="44"/>
        </w:rPr>
      </w:pPr>
    </w:p>
    <w:p>
      <w:pPr>
        <w:widowControl/>
        <w:jc w:val="center"/>
        <w:rPr>
          <w:rFonts w:hint="default" w:ascii="Times New Roman" w:hAnsi="Times New Roman" w:eastAsia="黑体" w:cs="Times New Roman"/>
          <w:sz w:val="44"/>
          <w:szCs w:val="44"/>
        </w:rPr>
      </w:pPr>
    </w:p>
    <w:p>
      <w:pPr>
        <w:widowControl/>
        <w:jc w:val="center"/>
        <w:rPr>
          <w:rFonts w:hint="default" w:ascii="Times New Roman" w:hAnsi="Times New Roman" w:eastAsia="黑体" w:cs="Times New Roman"/>
          <w:sz w:val="44"/>
          <w:szCs w:val="44"/>
        </w:rPr>
      </w:pPr>
    </w:p>
    <w:p>
      <w:pPr>
        <w:widowControl/>
        <w:jc w:val="center"/>
        <w:rPr>
          <w:rFonts w:hint="default" w:ascii="Times New Roman" w:hAnsi="Times New Roman" w:eastAsia="黑体" w:cs="Times New Roman"/>
          <w:sz w:val="44"/>
          <w:szCs w:val="44"/>
        </w:rPr>
      </w:pPr>
    </w:p>
    <w:p>
      <w:pPr>
        <w:widowControl/>
        <w:jc w:val="center"/>
        <w:rPr>
          <w:rFonts w:hint="default" w:ascii="Times New Roman" w:hAnsi="Times New Roman" w:eastAsia="黑体" w:cs="Times New Roman"/>
          <w:sz w:val="44"/>
          <w:szCs w:val="44"/>
        </w:rPr>
      </w:pPr>
    </w:p>
    <w:p>
      <w:pPr>
        <w:widowControl/>
        <w:jc w:val="center"/>
        <w:rPr>
          <w:rFonts w:hint="default" w:ascii="Times New Roman" w:hAnsi="Times New Roman" w:eastAsia="黑体" w:cs="Times New Roman"/>
          <w:sz w:val="44"/>
          <w:szCs w:val="44"/>
        </w:rPr>
      </w:pPr>
    </w:p>
    <w:p>
      <w:pPr>
        <w:widowControl/>
        <w:jc w:val="center"/>
        <w:rPr>
          <w:rFonts w:hint="default" w:ascii="Times New Roman" w:hAnsi="Times New Roman" w:eastAsia="黑体" w:cs="Times New Roman"/>
          <w:sz w:val="44"/>
          <w:szCs w:val="44"/>
        </w:rPr>
      </w:pPr>
    </w:p>
    <w:p>
      <w:pPr>
        <w:widowControl/>
        <w:jc w:val="center"/>
        <w:rPr>
          <w:rFonts w:hint="default" w:ascii="Times New Roman" w:hAnsi="Times New Roman" w:eastAsia="黑体" w:cs="Times New Roman"/>
          <w:sz w:val="44"/>
          <w:szCs w:val="44"/>
        </w:rPr>
      </w:pPr>
    </w:p>
    <w:p>
      <w:pPr>
        <w:widowControl/>
        <w:jc w:val="center"/>
        <w:rPr>
          <w:rFonts w:hint="default" w:ascii="Times New Roman" w:hAnsi="Times New Roman" w:eastAsia="黑体" w:cs="Times New Roman"/>
          <w:sz w:val="44"/>
          <w:szCs w:val="44"/>
        </w:rPr>
      </w:pPr>
    </w:p>
    <w:p>
      <w:pPr>
        <w:widowControl/>
        <w:jc w:val="center"/>
        <w:rPr>
          <w:rFonts w:hint="default" w:ascii="Times New Roman" w:hAnsi="Times New Roman" w:eastAsia="黑体" w:cs="Times New Roman"/>
          <w:sz w:val="44"/>
          <w:szCs w:val="44"/>
        </w:rPr>
      </w:pPr>
    </w:p>
    <w:p>
      <w:pPr>
        <w:widowControl/>
        <w:jc w:val="center"/>
        <w:rPr>
          <w:rFonts w:hint="default" w:ascii="Times New Roman" w:hAnsi="Times New Roman" w:eastAsia="黑体" w:cs="Times New Roman"/>
          <w:sz w:val="44"/>
          <w:szCs w:val="44"/>
        </w:rPr>
      </w:pPr>
    </w:p>
    <w:p>
      <w:pPr>
        <w:widowControl/>
        <w:jc w:val="center"/>
        <w:rPr>
          <w:rFonts w:hint="default" w:ascii="Times New Roman" w:hAnsi="Times New Roman" w:eastAsia="仿宋" w:cs="Times New Roman"/>
        </w:rPr>
      </w:pPr>
      <w:bookmarkStart w:id="101" w:name="_Toc1281136866_WPSOffice_Level1"/>
      <w:r>
        <w:rPr>
          <w:rFonts w:hint="default" w:ascii="Times New Roman" w:hAnsi="Times New Roman" w:eastAsia="黑体" w:cs="Times New Roman"/>
          <w:sz w:val="44"/>
          <w:szCs w:val="44"/>
        </w:rPr>
        <w:t>第</w:t>
      </w:r>
      <w:r>
        <w:rPr>
          <w:rStyle w:val="28"/>
          <w:rFonts w:hint="default" w:ascii="Times New Roman" w:hAnsi="Times New Roman" w:eastAsia="黑体" w:cs="Times New Roman"/>
          <w:b w:val="0"/>
        </w:rPr>
        <w:t>五部分 附表</w:t>
      </w:r>
      <w:bookmarkEnd w:id="97"/>
      <w:bookmarkEnd w:id="100"/>
      <w:bookmarkEnd w:id="101"/>
      <w:bookmarkStart w:id="102" w:name="_Toc15396619"/>
    </w:p>
    <w:p>
      <w:pPr>
        <w:pStyle w:val="14"/>
        <w:adjustRightInd w:val="0"/>
        <w:snapToGrid w:val="0"/>
        <w:spacing w:line="560" w:lineRule="exact"/>
        <w:jc w:val="left"/>
        <w:rPr>
          <w:rFonts w:hint="default" w:ascii="Times New Roman" w:hAnsi="Times New Roman" w:eastAsia="仿宋_GB2312" w:cs="Times New Roman"/>
          <w:sz w:val="32"/>
          <w:szCs w:val="32"/>
        </w:rPr>
      </w:pPr>
    </w:p>
    <w:p>
      <w:pPr>
        <w:pStyle w:val="14"/>
        <w:adjustRightInd w:val="0"/>
        <w:snapToGrid w:val="0"/>
        <w:spacing w:line="560" w:lineRule="exact"/>
        <w:jc w:val="left"/>
        <w:rPr>
          <w:rFonts w:hint="default" w:ascii="Times New Roman" w:hAnsi="Times New Roman" w:eastAsia="仿宋_GB2312" w:cs="Times New Roman"/>
          <w:sz w:val="32"/>
          <w:szCs w:val="32"/>
        </w:rPr>
      </w:pPr>
      <w:bookmarkStart w:id="103" w:name="_Toc491660522_WPSOffice_Level2"/>
      <w:r>
        <w:rPr>
          <w:rFonts w:hint="default" w:ascii="Times New Roman" w:hAnsi="Times New Roman" w:eastAsia="仿宋_GB2312" w:cs="Times New Roman"/>
          <w:sz w:val="32"/>
          <w:szCs w:val="32"/>
        </w:rPr>
        <w:t>一、收入支出决算总表</w:t>
      </w:r>
      <w:bookmarkEnd w:id="102"/>
      <w:bookmarkEnd w:id="103"/>
    </w:p>
    <w:p>
      <w:pPr>
        <w:pStyle w:val="14"/>
        <w:adjustRightInd w:val="0"/>
        <w:snapToGrid w:val="0"/>
        <w:spacing w:line="560" w:lineRule="exact"/>
        <w:jc w:val="left"/>
        <w:rPr>
          <w:rFonts w:hint="default" w:ascii="Times New Roman" w:hAnsi="Times New Roman" w:eastAsia="仿宋_GB2312" w:cs="Times New Roman"/>
          <w:sz w:val="32"/>
          <w:szCs w:val="32"/>
        </w:rPr>
      </w:pPr>
      <w:bookmarkStart w:id="104" w:name="_Toc15396620"/>
      <w:bookmarkStart w:id="105" w:name="_Toc1239140214_WPSOffice_Level2"/>
      <w:r>
        <w:rPr>
          <w:rFonts w:hint="default" w:ascii="Times New Roman" w:hAnsi="Times New Roman" w:eastAsia="仿宋_GB2312" w:cs="Times New Roman"/>
          <w:sz w:val="32"/>
          <w:szCs w:val="32"/>
        </w:rPr>
        <w:t>二、收入决算表</w:t>
      </w:r>
      <w:bookmarkEnd w:id="104"/>
      <w:bookmarkEnd w:id="105"/>
    </w:p>
    <w:p>
      <w:pPr>
        <w:pStyle w:val="14"/>
        <w:adjustRightInd w:val="0"/>
        <w:snapToGrid w:val="0"/>
        <w:spacing w:line="560" w:lineRule="exact"/>
        <w:jc w:val="left"/>
        <w:rPr>
          <w:rFonts w:hint="default" w:ascii="Times New Roman" w:hAnsi="Times New Roman" w:eastAsia="仿宋_GB2312" w:cs="Times New Roman"/>
          <w:sz w:val="32"/>
          <w:szCs w:val="32"/>
        </w:rPr>
      </w:pPr>
      <w:bookmarkStart w:id="106" w:name="_Toc1037498216_WPSOffice_Level2"/>
      <w:bookmarkStart w:id="107" w:name="_Toc15396621"/>
      <w:r>
        <w:rPr>
          <w:rFonts w:hint="default" w:ascii="Times New Roman" w:hAnsi="Times New Roman" w:eastAsia="仿宋_GB2312" w:cs="Times New Roman"/>
          <w:sz w:val="32"/>
          <w:szCs w:val="32"/>
        </w:rPr>
        <w:t>三、支出决算表</w:t>
      </w:r>
      <w:bookmarkEnd w:id="106"/>
      <w:bookmarkEnd w:id="107"/>
    </w:p>
    <w:p>
      <w:pPr>
        <w:pStyle w:val="14"/>
        <w:adjustRightInd w:val="0"/>
        <w:snapToGrid w:val="0"/>
        <w:spacing w:line="560" w:lineRule="exact"/>
        <w:jc w:val="left"/>
        <w:rPr>
          <w:rFonts w:hint="default" w:ascii="Times New Roman" w:hAnsi="Times New Roman" w:eastAsia="仿宋_GB2312" w:cs="Times New Roman"/>
          <w:sz w:val="32"/>
          <w:szCs w:val="32"/>
        </w:rPr>
      </w:pPr>
      <w:bookmarkStart w:id="108" w:name="_Toc15396622"/>
      <w:bookmarkStart w:id="109" w:name="_Toc1501906232_WPSOffice_Level2"/>
      <w:r>
        <w:rPr>
          <w:rFonts w:hint="default" w:ascii="Times New Roman" w:hAnsi="Times New Roman" w:eastAsia="仿宋_GB2312" w:cs="Times New Roman"/>
          <w:sz w:val="32"/>
          <w:szCs w:val="32"/>
        </w:rPr>
        <w:t>四、财政拨款收入支出决算总表</w:t>
      </w:r>
      <w:bookmarkEnd w:id="108"/>
      <w:bookmarkEnd w:id="109"/>
    </w:p>
    <w:p>
      <w:pPr>
        <w:pStyle w:val="14"/>
        <w:adjustRightInd w:val="0"/>
        <w:snapToGrid w:val="0"/>
        <w:spacing w:line="560" w:lineRule="exact"/>
        <w:jc w:val="left"/>
        <w:rPr>
          <w:rFonts w:hint="default" w:ascii="Times New Roman" w:hAnsi="Times New Roman" w:eastAsia="仿宋_GB2312" w:cs="Times New Roman"/>
          <w:sz w:val="32"/>
          <w:szCs w:val="32"/>
        </w:rPr>
      </w:pPr>
      <w:bookmarkStart w:id="110" w:name="_Toc1210576988_WPSOffice_Level2"/>
      <w:bookmarkStart w:id="111" w:name="_Toc15396623"/>
      <w:r>
        <w:rPr>
          <w:rFonts w:hint="default" w:ascii="Times New Roman" w:hAnsi="Times New Roman" w:eastAsia="仿宋_GB2312" w:cs="Times New Roman"/>
          <w:sz w:val="32"/>
          <w:szCs w:val="32"/>
        </w:rPr>
        <w:t>五、财政拨款支出决算明细表</w:t>
      </w:r>
      <w:bookmarkEnd w:id="110"/>
      <w:bookmarkEnd w:id="111"/>
      <w:bookmarkStart w:id="112" w:name="_Toc15396624"/>
    </w:p>
    <w:p>
      <w:pPr>
        <w:pStyle w:val="14"/>
        <w:adjustRightInd w:val="0"/>
        <w:snapToGrid w:val="0"/>
        <w:spacing w:line="560" w:lineRule="exact"/>
        <w:jc w:val="left"/>
        <w:rPr>
          <w:rFonts w:hint="default" w:ascii="Times New Roman" w:hAnsi="Times New Roman" w:eastAsia="仿宋_GB2312" w:cs="Times New Roman"/>
          <w:sz w:val="32"/>
          <w:szCs w:val="32"/>
        </w:rPr>
      </w:pPr>
      <w:bookmarkStart w:id="113" w:name="_Toc678734862_WPSOffice_Level2"/>
      <w:r>
        <w:rPr>
          <w:rFonts w:hint="default" w:ascii="Times New Roman" w:hAnsi="Times New Roman" w:eastAsia="仿宋_GB2312" w:cs="Times New Roman"/>
          <w:sz w:val="32"/>
          <w:szCs w:val="32"/>
        </w:rPr>
        <w:t>六、一般公共预算财政拨款支出决算表</w:t>
      </w:r>
      <w:bookmarkEnd w:id="112"/>
      <w:bookmarkEnd w:id="113"/>
    </w:p>
    <w:p>
      <w:pPr>
        <w:pStyle w:val="14"/>
        <w:adjustRightInd w:val="0"/>
        <w:snapToGrid w:val="0"/>
        <w:spacing w:line="560" w:lineRule="exact"/>
        <w:jc w:val="left"/>
        <w:rPr>
          <w:rFonts w:hint="default" w:ascii="Times New Roman" w:hAnsi="Times New Roman" w:eastAsia="仿宋_GB2312" w:cs="Times New Roman"/>
          <w:sz w:val="32"/>
          <w:szCs w:val="32"/>
        </w:rPr>
      </w:pPr>
      <w:bookmarkStart w:id="114" w:name="_Toc15396625"/>
      <w:bookmarkStart w:id="115" w:name="_Toc2136385039_WPSOffice_Level2"/>
      <w:r>
        <w:rPr>
          <w:rFonts w:hint="default" w:ascii="Times New Roman" w:hAnsi="Times New Roman" w:eastAsia="仿宋_GB2312" w:cs="Times New Roman"/>
          <w:sz w:val="32"/>
          <w:szCs w:val="32"/>
        </w:rPr>
        <w:t>七、一般公共预算财政拨款支出决算明细表</w:t>
      </w:r>
      <w:bookmarkEnd w:id="114"/>
      <w:bookmarkEnd w:id="115"/>
    </w:p>
    <w:p>
      <w:pPr>
        <w:pStyle w:val="14"/>
        <w:adjustRightInd w:val="0"/>
        <w:snapToGrid w:val="0"/>
        <w:spacing w:line="560" w:lineRule="exact"/>
        <w:jc w:val="left"/>
        <w:rPr>
          <w:rFonts w:hint="default" w:ascii="Times New Roman" w:hAnsi="Times New Roman" w:eastAsia="仿宋_GB2312" w:cs="Times New Roman"/>
          <w:sz w:val="32"/>
          <w:szCs w:val="32"/>
        </w:rPr>
      </w:pPr>
      <w:bookmarkStart w:id="116" w:name="_Toc1394688059_WPSOffice_Level2"/>
      <w:bookmarkStart w:id="117" w:name="_Toc15396626"/>
      <w:r>
        <w:rPr>
          <w:rFonts w:hint="default" w:ascii="Times New Roman" w:hAnsi="Times New Roman" w:eastAsia="仿宋_GB2312" w:cs="Times New Roman"/>
          <w:sz w:val="32"/>
          <w:szCs w:val="32"/>
        </w:rPr>
        <w:t>八、一般公共预算财政拨款基本支出决算表</w:t>
      </w:r>
      <w:bookmarkEnd w:id="116"/>
      <w:bookmarkEnd w:id="117"/>
    </w:p>
    <w:p>
      <w:pPr>
        <w:pStyle w:val="14"/>
        <w:adjustRightInd w:val="0"/>
        <w:snapToGrid w:val="0"/>
        <w:spacing w:line="560" w:lineRule="exact"/>
        <w:jc w:val="left"/>
        <w:rPr>
          <w:rFonts w:hint="default" w:ascii="Times New Roman" w:hAnsi="Times New Roman" w:eastAsia="仿宋_GB2312" w:cs="Times New Roman"/>
          <w:sz w:val="32"/>
          <w:szCs w:val="32"/>
        </w:rPr>
      </w:pPr>
      <w:bookmarkStart w:id="118" w:name="_Toc86779450_WPSOffice_Level2"/>
      <w:bookmarkStart w:id="119" w:name="_Toc15396627"/>
      <w:r>
        <w:rPr>
          <w:rFonts w:hint="default" w:ascii="Times New Roman" w:hAnsi="Times New Roman" w:eastAsia="仿宋_GB2312" w:cs="Times New Roman"/>
          <w:sz w:val="32"/>
          <w:szCs w:val="32"/>
        </w:rPr>
        <w:t>九、一般公共预算财政拨款项目支出决算表</w:t>
      </w:r>
      <w:bookmarkEnd w:id="118"/>
      <w:bookmarkEnd w:id="119"/>
    </w:p>
    <w:p>
      <w:pPr>
        <w:pStyle w:val="14"/>
        <w:adjustRightInd w:val="0"/>
        <w:snapToGrid w:val="0"/>
        <w:spacing w:line="560" w:lineRule="exact"/>
        <w:jc w:val="left"/>
        <w:rPr>
          <w:rFonts w:hint="default" w:ascii="Times New Roman" w:hAnsi="Times New Roman" w:eastAsia="仿宋_GB2312" w:cs="Times New Roman"/>
          <w:sz w:val="32"/>
          <w:szCs w:val="32"/>
        </w:rPr>
      </w:pPr>
      <w:bookmarkStart w:id="120" w:name="_Toc15396628"/>
      <w:bookmarkStart w:id="121" w:name="_Toc1837220416_WPSOffice_Level2"/>
      <w:r>
        <w:rPr>
          <w:rFonts w:hint="default" w:ascii="Times New Roman" w:hAnsi="Times New Roman" w:eastAsia="仿宋_GB2312" w:cs="Times New Roman"/>
          <w:sz w:val="32"/>
          <w:szCs w:val="32"/>
        </w:rPr>
        <w:t>十、</w:t>
      </w:r>
      <w:bookmarkEnd w:id="120"/>
      <w:r>
        <w:rPr>
          <w:rFonts w:hint="default" w:ascii="Times New Roman" w:hAnsi="Times New Roman" w:eastAsia="仿宋_GB2312" w:cs="Times New Roman"/>
          <w:sz w:val="32"/>
          <w:szCs w:val="32"/>
        </w:rPr>
        <w:t>政府性基金预算财政拨款收入支出决算表</w:t>
      </w:r>
      <w:bookmarkEnd w:id="121"/>
    </w:p>
    <w:p>
      <w:pPr>
        <w:pStyle w:val="14"/>
        <w:adjustRightInd w:val="0"/>
        <w:snapToGrid w:val="0"/>
        <w:spacing w:line="560" w:lineRule="exact"/>
        <w:jc w:val="left"/>
        <w:rPr>
          <w:rFonts w:hint="default" w:ascii="Times New Roman" w:hAnsi="Times New Roman" w:eastAsia="仿宋_GB2312" w:cs="Times New Roman"/>
          <w:sz w:val="32"/>
          <w:szCs w:val="32"/>
        </w:rPr>
      </w:pPr>
      <w:bookmarkStart w:id="122" w:name="_Toc15396629"/>
      <w:bookmarkStart w:id="123" w:name="_Toc460140699_WPSOffice_Level2"/>
      <w:r>
        <w:rPr>
          <w:rFonts w:hint="default" w:ascii="Times New Roman" w:hAnsi="Times New Roman" w:eastAsia="仿宋_GB2312" w:cs="Times New Roman"/>
          <w:sz w:val="32"/>
          <w:szCs w:val="32"/>
        </w:rPr>
        <w:t>十一、</w:t>
      </w:r>
      <w:bookmarkEnd w:id="122"/>
      <w:r>
        <w:rPr>
          <w:rFonts w:hint="default" w:ascii="Times New Roman" w:hAnsi="Times New Roman" w:eastAsia="仿宋_GB2312" w:cs="Times New Roman"/>
          <w:sz w:val="32"/>
          <w:szCs w:val="32"/>
        </w:rPr>
        <w:t>国有资本经营预算财政拨款收入支出决算表</w:t>
      </w:r>
      <w:bookmarkEnd w:id="123"/>
    </w:p>
    <w:p>
      <w:pPr>
        <w:pStyle w:val="14"/>
        <w:adjustRightInd w:val="0"/>
        <w:snapToGrid w:val="0"/>
        <w:spacing w:line="560" w:lineRule="exact"/>
        <w:jc w:val="left"/>
        <w:rPr>
          <w:rFonts w:hint="default" w:ascii="Times New Roman" w:hAnsi="Times New Roman" w:eastAsia="仿宋_GB2312" w:cs="Times New Roman"/>
          <w:sz w:val="32"/>
          <w:szCs w:val="32"/>
        </w:rPr>
      </w:pPr>
      <w:bookmarkStart w:id="124" w:name="_Toc15396630"/>
      <w:bookmarkStart w:id="125" w:name="_Toc1899631975_WPSOffice_Level2"/>
      <w:r>
        <w:rPr>
          <w:rFonts w:hint="default" w:ascii="Times New Roman" w:hAnsi="Times New Roman" w:eastAsia="仿宋_GB2312" w:cs="Times New Roman"/>
          <w:sz w:val="32"/>
          <w:szCs w:val="32"/>
        </w:rPr>
        <w:t>十二、</w:t>
      </w:r>
      <w:bookmarkEnd w:id="124"/>
      <w:r>
        <w:rPr>
          <w:rFonts w:hint="default" w:ascii="Times New Roman" w:hAnsi="Times New Roman" w:eastAsia="仿宋_GB2312" w:cs="Times New Roman"/>
          <w:sz w:val="32"/>
          <w:szCs w:val="32"/>
        </w:rPr>
        <w:t>国有资本经营预算财政拨款支出决算表</w:t>
      </w:r>
      <w:bookmarkEnd w:id="125"/>
    </w:p>
    <w:p>
      <w:pPr>
        <w:pStyle w:val="14"/>
        <w:adjustRightInd w:val="0"/>
        <w:snapToGrid w:val="0"/>
        <w:spacing w:line="560" w:lineRule="exact"/>
        <w:jc w:val="left"/>
        <w:rPr>
          <w:rFonts w:hint="default" w:ascii="Times New Roman" w:hAnsi="Times New Roman" w:eastAsia="仿宋_GB2312" w:cs="Times New Roman"/>
          <w:sz w:val="32"/>
          <w:szCs w:val="32"/>
        </w:rPr>
      </w:pPr>
      <w:bookmarkStart w:id="126" w:name="_Toc15396631"/>
      <w:bookmarkStart w:id="127" w:name="_Toc2091208279_WPSOffice_Level2"/>
      <w:r>
        <w:rPr>
          <w:rFonts w:hint="default" w:ascii="Times New Roman" w:hAnsi="Times New Roman" w:eastAsia="仿宋_GB2312" w:cs="Times New Roman"/>
          <w:sz w:val="32"/>
          <w:szCs w:val="32"/>
        </w:rPr>
        <w:t>十三、</w:t>
      </w:r>
      <w:bookmarkEnd w:id="126"/>
      <w:r>
        <w:rPr>
          <w:rFonts w:hint="default" w:ascii="Times New Roman" w:hAnsi="Times New Roman" w:eastAsia="仿宋_GB2312" w:cs="Times New Roman"/>
          <w:sz w:val="32"/>
          <w:szCs w:val="32"/>
        </w:rPr>
        <w:t>财政拨款“三公”经费支出决算表</w:t>
      </w:r>
      <w:bookmarkEnd w:id="127"/>
    </w:p>
    <w:p>
      <w:pPr>
        <w:rPr>
          <w:rFonts w:hint="default" w:ascii="Times New Roman" w:hAnsi="Times New Roman" w:cs="Times New Roman"/>
        </w:rPr>
      </w:pPr>
    </w:p>
    <w:sectPr>
      <w:footerReference r:id="rId8" w:type="default"/>
      <w:pgSz w:w="11906" w:h="16838"/>
      <w:pgMar w:top="2098" w:right="1474" w:bottom="1984" w:left="1587" w:header="964"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楷体">
    <w:panose1 w:val="02010609060101010101"/>
    <w:charset w:val="86"/>
    <w:family w:val="auto"/>
    <w:pitch w:val="default"/>
    <w:sig w:usb0="800002BF" w:usb1="38CF7CFA" w:usb2="00000016" w:usb3="00000000" w:csb0="00040001" w:csb1="0000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K8tgzBwCAAApBAAADgAAAAAAAAABACAAAAA1AQAAZHJzL2Uyb0RvYy54bWxQSwUG&#10;AAAAAAYABgBZAQAAwwU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FsIeAxwCAAArBAAADgAAAAAAAAABACAAAAA1AQAAZHJzL2Uyb0RvYy54bWxQSwUG&#10;AAAAAAYABgBZAQAAwwU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GQA+L8aAgAAKwQAAA4AAAAAAAAAAQAgAAAANQEAAGRycy9lMm9Eb2MueG1sUEsFBgAA&#10;AAAGAAYAWQEAAMEFA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p>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q+O8FQIAABkEAAAOAAAAAAAAAAEAIAAAADUBAABkcnMvZTJvRG9jLnhtbFBLBQYAAAAABgAG&#10;AFkBAAC8BQAAAAA=&#10;">
              <v:fill on="f" focussize="0,0"/>
              <v:stroke on="f" weight="0.5pt"/>
              <v:imagedata o:title=""/>
              <o:lock v:ext="edit" aspectratio="f"/>
              <v:textbox inset="0mm,0mm,0mm,0mm" style="mso-fit-shape-to-text:t;">
                <w:txbxContent>
                  <w:p>
                    <w:pPr>
                      <w:pStyle w:val="10"/>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848995" cy="397510"/>
              <wp:effectExtent l="0" t="0" r="0" b="0"/>
              <wp:wrapNone/>
              <wp:docPr id="12" name="文本框 12"/>
              <wp:cNvGraphicFramePr/>
              <a:graphic xmlns:a="http://schemas.openxmlformats.org/drawingml/2006/main">
                <a:graphicData uri="http://schemas.microsoft.com/office/word/2010/wordprocessingShape">
                  <wps:wsp>
                    <wps:cNvSpPr txBox="true"/>
                    <wps:spPr>
                      <a:xfrm>
                        <a:off x="0" y="0"/>
                        <a:ext cx="848995" cy="3975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rPr>
                              <w:rFonts w:hint="eastAsia" w:asciiTheme="minorEastAsia" w:hAnsiTheme="minorEastAsia" w:cstheme="minorEastAsia"/>
                              <w:sz w:val="28"/>
                              <w:szCs w:val="28"/>
                            </w:rPr>
                            <w:t xml:space="preserve"> —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9</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wps:txbx>
                    <wps:bodyPr rot="0" spcFirstLastPara="0" vertOverflow="overflow" horzOverflow="overflow" vert="horz" wrap="square" lIns="0" tIns="0" rIns="0" bIns="0" numCol="1" spcCol="0" rtlCol="0" fromWordArt="false" anchor="t" anchorCtr="false" forceAA="false" upright="false" compatLnSpc="true">
                      <a:noAutofit/>
                    </wps:bodyPr>
                  </wps:wsp>
                </a:graphicData>
              </a:graphic>
            </wp:anchor>
          </w:drawing>
        </mc:Choice>
        <mc:Fallback>
          <w:pict>
            <v:shape id="_x0000_s1026" o:spid="_x0000_s1026" o:spt="202" type="#_x0000_t202" style="position:absolute;left:0pt;margin-top:0pt;height:31.3pt;width:66.85pt;mso-position-horizontal:outside;mso-position-horizontal-relative:margin;z-index:251661312;mso-width-relative:page;mso-height-relative:page;" filled="f" stroked="f" coordsize="21600,21600" o:gfxdata="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BYAAABkcnMv&#10;UEsBAhQAFAAAAAgAh07iQCmQg47UAAAABAEAAA8AAAAAAAAAAQAgAAAAOAAAAGRycy9kb3ducmV2&#10;LnhtbFBLAQIUABQAAAAIAIdO4kDClxLLIwIAACsEAAAOAAAAAAAAAAEAIAAAADkBAABkcnMvZTJv&#10;RG9jLnhtbFBLBQYAAAAABgAGAFkBAADOBQAAAAA=&#10;">
              <v:fill on="f" focussize="0,0"/>
              <v:stroke on="f" weight="0.5pt"/>
              <v:imagedata o:title=""/>
              <o:lock v:ext="edit" aspectratio="f"/>
              <v:textbox inset="0mm,0mm,0mm,0mm">
                <w:txbxContent>
                  <w:p>
                    <w:pPr>
                      <w:pStyle w:val="10"/>
                    </w:pPr>
                    <w:r>
                      <w:rPr>
                        <w:rFonts w:hint="eastAsia" w:asciiTheme="minorEastAsia" w:hAnsiTheme="minorEastAsia" w:cstheme="minorEastAsia"/>
                        <w:sz w:val="28"/>
                        <w:szCs w:val="28"/>
                      </w:rPr>
                      <w:t xml:space="preserve"> —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9</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p>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1ADD"/>
    <w:rsid w:val="00163351"/>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66425"/>
    <w:rsid w:val="0037013F"/>
    <w:rsid w:val="00380C92"/>
    <w:rsid w:val="003A167B"/>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75C6A"/>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3741F"/>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87D95"/>
    <w:rsid w:val="009931C3"/>
    <w:rsid w:val="009A1776"/>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5EA2"/>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43BF5"/>
    <w:rsid w:val="00D51247"/>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2317B1B"/>
    <w:rsid w:val="02FEBE30"/>
    <w:rsid w:val="039D18E6"/>
    <w:rsid w:val="061E35DE"/>
    <w:rsid w:val="066E0107"/>
    <w:rsid w:val="07996F6E"/>
    <w:rsid w:val="07DFD8BA"/>
    <w:rsid w:val="08646E76"/>
    <w:rsid w:val="08DB07E4"/>
    <w:rsid w:val="09867E8F"/>
    <w:rsid w:val="0A2032A3"/>
    <w:rsid w:val="0A8B26E5"/>
    <w:rsid w:val="0C6C4794"/>
    <w:rsid w:val="0CA8290A"/>
    <w:rsid w:val="0D35B1ED"/>
    <w:rsid w:val="0DE07E2B"/>
    <w:rsid w:val="0F98263C"/>
    <w:rsid w:val="101860EC"/>
    <w:rsid w:val="10C055FF"/>
    <w:rsid w:val="113F4EFE"/>
    <w:rsid w:val="11772AA4"/>
    <w:rsid w:val="118107EC"/>
    <w:rsid w:val="13D50BC4"/>
    <w:rsid w:val="14022904"/>
    <w:rsid w:val="152F2A07"/>
    <w:rsid w:val="165E0673"/>
    <w:rsid w:val="16BB723D"/>
    <w:rsid w:val="186504BB"/>
    <w:rsid w:val="1938089F"/>
    <w:rsid w:val="196C11FD"/>
    <w:rsid w:val="19A445FC"/>
    <w:rsid w:val="1B7D550C"/>
    <w:rsid w:val="1BE8440E"/>
    <w:rsid w:val="1D155CEE"/>
    <w:rsid w:val="1E740ACF"/>
    <w:rsid w:val="1F77A13B"/>
    <w:rsid w:val="1FF35744"/>
    <w:rsid w:val="1FF6BC77"/>
    <w:rsid w:val="21962A9E"/>
    <w:rsid w:val="21AE7C77"/>
    <w:rsid w:val="22BC3C41"/>
    <w:rsid w:val="23860B96"/>
    <w:rsid w:val="240371BF"/>
    <w:rsid w:val="248845EB"/>
    <w:rsid w:val="260F557C"/>
    <w:rsid w:val="281408E2"/>
    <w:rsid w:val="29FD04D3"/>
    <w:rsid w:val="2BFF7BC6"/>
    <w:rsid w:val="2C8A61B5"/>
    <w:rsid w:val="2D2E01CF"/>
    <w:rsid w:val="2DF04E50"/>
    <w:rsid w:val="2E9545B0"/>
    <w:rsid w:val="2F040D46"/>
    <w:rsid w:val="2FAE5751"/>
    <w:rsid w:val="2FB1A395"/>
    <w:rsid w:val="2FD9A7D8"/>
    <w:rsid w:val="319F7F4E"/>
    <w:rsid w:val="321B2544"/>
    <w:rsid w:val="3304709D"/>
    <w:rsid w:val="34281836"/>
    <w:rsid w:val="349D6851"/>
    <w:rsid w:val="35BA6CAF"/>
    <w:rsid w:val="35BCFCC3"/>
    <w:rsid w:val="364D14C1"/>
    <w:rsid w:val="36AA5135"/>
    <w:rsid w:val="36BE0DA7"/>
    <w:rsid w:val="376B6AA6"/>
    <w:rsid w:val="376D39B2"/>
    <w:rsid w:val="37E16F03"/>
    <w:rsid w:val="37F53A3B"/>
    <w:rsid w:val="389B6C89"/>
    <w:rsid w:val="38D469F0"/>
    <w:rsid w:val="39140263"/>
    <w:rsid w:val="39627CCD"/>
    <w:rsid w:val="397BAF1F"/>
    <w:rsid w:val="3AB79AF3"/>
    <w:rsid w:val="3B7EF35A"/>
    <w:rsid w:val="3B9FDB6C"/>
    <w:rsid w:val="3BF5BC2F"/>
    <w:rsid w:val="3BF79A28"/>
    <w:rsid w:val="3CEBA265"/>
    <w:rsid w:val="3D366E8E"/>
    <w:rsid w:val="3D98207C"/>
    <w:rsid w:val="3D9B0D99"/>
    <w:rsid w:val="3DEE7CF3"/>
    <w:rsid w:val="3DF02244"/>
    <w:rsid w:val="3E78745D"/>
    <w:rsid w:val="3FF4CAE0"/>
    <w:rsid w:val="3FF7B227"/>
    <w:rsid w:val="40E54C45"/>
    <w:rsid w:val="43A407DF"/>
    <w:rsid w:val="44515BEA"/>
    <w:rsid w:val="44E268DA"/>
    <w:rsid w:val="45256E0E"/>
    <w:rsid w:val="453F7E5B"/>
    <w:rsid w:val="45EE5265"/>
    <w:rsid w:val="486A6C7A"/>
    <w:rsid w:val="49176D9B"/>
    <w:rsid w:val="4A627F82"/>
    <w:rsid w:val="4B0E749A"/>
    <w:rsid w:val="4B4F25DA"/>
    <w:rsid w:val="4B795035"/>
    <w:rsid w:val="4BDA0CFB"/>
    <w:rsid w:val="4BE068DB"/>
    <w:rsid w:val="4D3C0CCC"/>
    <w:rsid w:val="4D577224"/>
    <w:rsid w:val="4DBF1CEB"/>
    <w:rsid w:val="4EAB630A"/>
    <w:rsid w:val="4ECE2238"/>
    <w:rsid w:val="4EFED253"/>
    <w:rsid w:val="4F833267"/>
    <w:rsid w:val="4FE9BD67"/>
    <w:rsid w:val="4FFB052F"/>
    <w:rsid w:val="53083A92"/>
    <w:rsid w:val="537E6D0A"/>
    <w:rsid w:val="53AF27A2"/>
    <w:rsid w:val="53F27EEC"/>
    <w:rsid w:val="53F74C96"/>
    <w:rsid w:val="55FD558F"/>
    <w:rsid w:val="56E47B74"/>
    <w:rsid w:val="57BD3DD4"/>
    <w:rsid w:val="5AF92295"/>
    <w:rsid w:val="5BDD79E6"/>
    <w:rsid w:val="5BF561CA"/>
    <w:rsid w:val="5BFF5DFC"/>
    <w:rsid w:val="5CC80B68"/>
    <w:rsid w:val="5CD71FC4"/>
    <w:rsid w:val="5D1F11B5"/>
    <w:rsid w:val="5DAE1B18"/>
    <w:rsid w:val="5DE7D9E5"/>
    <w:rsid w:val="5E1D69EB"/>
    <w:rsid w:val="5ECEC941"/>
    <w:rsid w:val="5EEF1136"/>
    <w:rsid w:val="5F493CB7"/>
    <w:rsid w:val="5FBF9FF3"/>
    <w:rsid w:val="5FCD4E2C"/>
    <w:rsid w:val="5FD15F49"/>
    <w:rsid w:val="5FEF394A"/>
    <w:rsid w:val="5FF67715"/>
    <w:rsid w:val="62477F0C"/>
    <w:rsid w:val="62BF3928"/>
    <w:rsid w:val="647F5392"/>
    <w:rsid w:val="664B1D71"/>
    <w:rsid w:val="67AA3209"/>
    <w:rsid w:val="681C4F0D"/>
    <w:rsid w:val="69046D0F"/>
    <w:rsid w:val="698D0931"/>
    <w:rsid w:val="6A993CED"/>
    <w:rsid w:val="6B053271"/>
    <w:rsid w:val="6BCE6674"/>
    <w:rsid w:val="6C4A05C8"/>
    <w:rsid w:val="6C8742B8"/>
    <w:rsid w:val="6C8A170F"/>
    <w:rsid w:val="6CB54609"/>
    <w:rsid w:val="6DBF5E93"/>
    <w:rsid w:val="6DFF077E"/>
    <w:rsid w:val="6E7E3605"/>
    <w:rsid w:val="6E7FDCC7"/>
    <w:rsid w:val="6ED6A62E"/>
    <w:rsid w:val="6EE00B15"/>
    <w:rsid w:val="6F544B20"/>
    <w:rsid w:val="6F5F812D"/>
    <w:rsid w:val="6F6FB3EB"/>
    <w:rsid w:val="6F784160"/>
    <w:rsid w:val="6F8731EA"/>
    <w:rsid w:val="6F975B90"/>
    <w:rsid w:val="6FCE6052"/>
    <w:rsid w:val="6FD57C00"/>
    <w:rsid w:val="6FEFFFD8"/>
    <w:rsid w:val="6FF5CC65"/>
    <w:rsid w:val="6FFB47EC"/>
    <w:rsid w:val="6FFF034A"/>
    <w:rsid w:val="70496804"/>
    <w:rsid w:val="712A28F1"/>
    <w:rsid w:val="715C0E4B"/>
    <w:rsid w:val="72233669"/>
    <w:rsid w:val="72734D90"/>
    <w:rsid w:val="72EF16CB"/>
    <w:rsid w:val="7332FE48"/>
    <w:rsid w:val="73AB61DA"/>
    <w:rsid w:val="73AD73D5"/>
    <w:rsid w:val="73B6EB34"/>
    <w:rsid w:val="73FA497D"/>
    <w:rsid w:val="744731E5"/>
    <w:rsid w:val="74527205"/>
    <w:rsid w:val="74BBD01D"/>
    <w:rsid w:val="74D124D9"/>
    <w:rsid w:val="74ED5379"/>
    <w:rsid w:val="74FC2395"/>
    <w:rsid w:val="75DEEEC2"/>
    <w:rsid w:val="75FFC5D6"/>
    <w:rsid w:val="76E3355F"/>
    <w:rsid w:val="76FF5125"/>
    <w:rsid w:val="776F6FFA"/>
    <w:rsid w:val="778769C8"/>
    <w:rsid w:val="77DC22F5"/>
    <w:rsid w:val="79086DAD"/>
    <w:rsid w:val="79974F09"/>
    <w:rsid w:val="79D7FD79"/>
    <w:rsid w:val="79EE5BA4"/>
    <w:rsid w:val="7A894339"/>
    <w:rsid w:val="7AFF7572"/>
    <w:rsid w:val="7B6C7DFB"/>
    <w:rsid w:val="7BBFBED0"/>
    <w:rsid w:val="7BC3E394"/>
    <w:rsid w:val="7C1F3737"/>
    <w:rsid w:val="7CBFC87B"/>
    <w:rsid w:val="7CFE0F48"/>
    <w:rsid w:val="7D7EC23E"/>
    <w:rsid w:val="7D916348"/>
    <w:rsid w:val="7E8ADEBF"/>
    <w:rsid w:val="7EEF11D3"/>
    <w:rsid w:val="7F0971A6"/>
    <w:rsid w:val="7F3F679B"/>
    <w:rsid w:val="7F4FC4EF"/>
    <w:rsid w:val="7F5E4D54"/>
    <w:rsid w:val="7F6E0135"/>
    <w:rsid w:val="7FA30C79"/>
    <w:rsid w:val="7FAF8ABF"/>
    <w:rsid w:val="7FB7269E"/>
    <w:rsid w:val="7FC96657"/>
    <w:rsid w:val="7FDA9588"/>
    <w:rsid w:val="7FDF220F"/>
    <w:rsid w:val="7FEDC5F7"/>
    <w:rsid w:val="7FEDD9DE"/>
    <w:rsid w:val="7FF5890D"/>
    <w:rsid w:val="7FF93490"/>
    <w:rsid w:val="7FFEC09A"/>
    <w:rsid w:val="99FF2014"/>
    <w:rsid w:val="9EFCE81E"/>
    <w:rsid w:val="A6DD0D7F"/>
    <w:rsid w:val="ADC6F725"/>
    <w:rsid w:val="ADEF0D4D"/>
    <w:rsid w:val="B7CF06AB"/>
    <w:rsid w:val="B7CFA926"/>
    <w:rsid w:val="B7F8786B"/>
    <w:rsid w:val="BABB6AA1"/>
    <w:rsid w:val="BB2F4199"/>
    <w:rsid w:val="BBFD7757"/>
    <w:rsid w:val="BD079C78"/>
    <w:rsid w:val="BD733540"/>
    <w:rsid w:val="BDCEBFE4"/>
    <w:rsid w:val="BF3735D5"/>
    <w:rsid w:val="BF3F5ADC"/>
    <w:rsid w:val="BF7F09AC"/>
    <w:rsid w:val="BFD475C3"/>
    <w:rsid w:val="BFDE5EA6"/>
    <w:rsid w:val="CF6FC6F3"/>
    <w:rsid w:val="CFD3D3D7"/>
    <w:rsid w:val="CFDF1009"/>
    <w:rsid w:val="D6F77831"/>
    <w:rsid w:val="D7D7B16A"/>
    <w:rsid w:val="D8D6DB89"/>
    <w:rsid w:val="DB6F4CAB"/>
    <w:rsid w:val="DB777682"/>
    <w:rsid w:val="DD1FB521"/>
    <w:rsid w:val="DEBB625A"/>
    <w:rsid w:val="DEFBFEAE"/>
    <w:rsid w:val="DF1F3B80"/>
    <w:rsid w:val="DF6F9789"/>
    <w:rsid w:val="DFFFA9E8"/>
    <w:rsid w:val="DFFFEA56"/>
    <w:rsid w:val="E3FCBED3"/>
    <w:rsid w:val="E5F4E9DC"/>
    <w:rsid w:val="E5F6B55D"/>
    <w:rsid w:val="E70FE695"/>
    <w:rsid w:val="ECFED1BC"/>
    <w:rsid w:val="ED1D69BB"/>
    <w:rsid w:val="ED7FD312"/>
    <w:rsid w:val="EECBE8CA"/>
    <w:rsid w:val="EF53993F"/>
    <w:rsid w:val="EF6FD633"/>
    <w:rsid w:val="EFBFB2F4"/>
    <w:rsid w:val="EFBFFA21"/>
    <w:rsid w:val="F1FF5DA9"/>
    <w:rsid w:val="F2BEBCB8"/>
    <w:rsid w:val="F36FB518"/>
    <w:rsid w:val="F39A1AB1"/>
    <w:rsid w:val="F3DE1A04"/>
    <w:rsid w:val="F3EF64F5"/>
    <w:rsid w:val="F3F722E5"/>
    <w:rsid w:val="F3FFB1B9"/>
    <w:rsid w:val="F9FB4610"/>
    <w:rsid w:val="FA5F1E70"/>
    <w:rsid w:val="FA5FDB97"/>
    <w:rsid w:val="FAFE2E7F"/>
    <w:rsid w:val="FB7F486A"/>
    <w:rsid w:val="FBFF5B2E"/>
    <w:rsid w:val="FCEFC77D"/>
    <w:rsid w:val="FD7FFE2B"/>
    <w:rsid w:val="FDEE196B"/>
    <w:rsid w:val="FDF70B6A"/>
    <w:rsid w:val="FDFE56A4"/>
    <w:rsid w:val="FDFE6575"/>
    <w:rsid w:val="FE7C03CA"/>
    <w:rsid w:val="FEBF9EBE"/>
    <w:rsid w:val="FEDFDDC2"/>
    <w:rsid w:val="FEED32F6"/>
    <w:rsid w:val="FEF781DD"/>
    <w:rsid w:val="FF3F7E3F"/>
    <w:rsid w:val="FFAF9670"/>
    <w:rsid w:val="FFBA12D7"/>
    <w:rsid w:val="FFDFFAEE"/>
    <w:rsid w:val="FFEFDEB4"/>
    <w:rsid w:val="FFF9B57B"/>
    <w:rsid w:val="FFFD5180"/>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5"/>
    <w:qFormat/>
    <w:uiPriority w:val="99"/>
    <w:pPr>
      <w:spacing w:beforeLines="30"/>
    </w:pPr>
    <w:rPr>
      <w:rFonts w:ascii="仿宋_GB2312" w:eastAsia="仿宋_GB2312"/>
      <w:kern w:val="0"/>
      <w:sz w:val="30"/>
    </w:rPr>
  </w:style>
  <w:style w:type="paragraph" w:styleId="6">
    <w:name w:val="Body Text Indent"/>
    <w:basedOn w:val="1"/>
    <w:next w:val="7"/>
    <w:qFormat/>
    <w:uiPriority w:val="0"/>
    <w:pPr>
      <w:spacing w:after="120"/>
      <w:ind w:left="200" w:leftChars="200"/>
    </w:pPr>
    <w:rPr>
      <w:rFonts w:ascii="仿宋_GB2312"/>
      <w:szCs w:val="32"/>
    </w:rPr>
  </w:style>
  <w:style w:type="paragraph" w:styleId="7">
    <w:name w:val="Body Text First Indent 2"/>
    <w:basedOn w:val="6"/>
    <w:next w:val="1"/>
    <w:link w:val="35"/>
    <w:unhideWhenUsed/>
    <w:qFormat/>
    <w:uiPriority w:val="99"/>
    <w:pPr>
      <w:ind w:firstLine="420" w:firstLineChars="200"/>
    </w:p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7"/>
    <w:semiHidden/>
    <w:qFormat/>
    <w:uiPriority w:val="0"/>
    <w:pPr>
      <w:snapToGrid w:val="0"/>
      <w:jc w:val="left"/>
    </w:pPr>
    <w:rPr>
      <w:sz w:val="18"/>
      <w:szCs w:val="1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1"/>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0"/>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2"/>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3"/>
    <w:qFormat/>
    <w:uiPriority w:val="9"/>
    <w:rPr>
      <w:rFonts w:ascii="Times New Roman" w:hAnsi="Times New Roman"/>
      <w:b/>
      <w:bCs/>
      <w:kern w:val="44"/>
      <w:sz w:val="44"/>
      <w:szCs w:val="44"/>
    </w:rPr>
  </w:style>
  <w:style w:type="character" w:customStyle="1" w:styleId="29">
    <w:name w:val="标题 2 Char"/>
    <w:basedOn w:val="16"/>
    <w:link w:val="4"/>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6"/>
    <w:link w:val="9"/>
    <w:semiHidden/>
    <w:qFormat/>
    <w:uiPriority w:val="99"/>
    <w:rPr>
      <w:rFonts w:ascii="Times New Roman" w:hAnsi="Times New Roman"/>
      <w:kern w:val="2"/>
      <w:sz w:val="18"/>
      <w:szCs w:val="18"/>
    </w:rPr>
  </w:style>
  <w:style w:type="character" w:customStyle="1" w:styleId="32">
    <w:name w:val="标题 3 Char"/>
    <w:basedOn w:val="16"/>
    <w:link w:val="5"/>
    <w:qFormat/>
    <w:uiPriority w:val="9"/>
    <w:rPr>
      <w:rFonts w:ascii="Times New Roman" w:hAnsi="Times New Roman"/>
      <w:b/>
      <w:bCs/>
      <w:kern w:val="2"/>
      <w:sz w:val="32"/>
      <w:szCs w:val="32"/>
    </w:rPr>
  </w:style>
  <w:style w:type="paragraph" w:customStyle="1" w:styleId="33">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 w:type="character" w:customStyle="1" w:styleId="35">
    <w:name w:val="正文首行缩进 2 Char"/>
    <w:basedOn w:val="16"/>
    <w:link w:val="7"/>
    <w:qFormat/>
    <w:uiPriority w:val="99"/>
    <w:rPr>
      <w:rFonts w:ascii="仿宋_GB2312"/>
      <w:kern w:val="2"/>
      <w:sz w:val="21"/>
      <w:szCs w:val="32"/>
    </w:rPr>
  </w:style>
  <w:style w:type="paragraph" w:customStyle="1" w:styleId="36">
    <w:name w:val="WPSOffice手动目录 1"/>
    <w:qFormat/>
    <w:uiPriority w:val="0"/>
    <w:pPr>
      <w:ind w:leftChars="0"/>
    </w:pPr>
    <w:rPr>
      <w:rFonts w:ascii="Times New Roman" w:hAnsi="Times New Roman" w:eastAsia="宋体" w:cs="Times New Roman"/>
      <w:sz w:val="20"/>
      <w:szCs w:val="20"/>
    </w:rPr>
  </w:style>
  <w:style w:type="paragraph" w:customStyle="1" w:styleId="37">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glossaryDocument" Target="glossary/document.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chart" Target="charts/chart7.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themeOverride" Target="../theme/themeOverride1.xml"/><Relationship Id="rId1" Type="http://schemas.openxmlformats.org/officeDocument/2006/relationships/oleObject" Target="/home/user/.cache/.fr-idoYhj/&#24066;&#20892;&#19994;&#20892;&#26449;&#23616;2024&#24180;&#20915;&#31639;&#20844;&#24320;9.15&#25913;/&#25856;&#26525;&#33457;&#24066;&#20892;&#19994;&#20892;&#26449;&#23616;&#21333;&#20301;/&#38468;&#20214;2&#65306;&#25856;&#26525;&#33457;&#24066;&#20892;&#19994;&#20892;&#26449;&#23616;&#20915;&#31639;&#20844;&#24320;&#25253;&#34920;.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home/user/.cache/.fr-idoYhj/&#24066;&#20892;&#19994;&#20892;&#26449;&#23616;2024&#24180;&#20915;&#31639;&#20844;&#24320;9.15&#25913;/&#25856;&#26525;&#33457;&#24066;&#20892;&#19994;&#20892;&#26449;&#23616;&#21333;&#20301;/&#38468;&#20214;2&#65306;&#25856;&#26525;&#33457;&#24066;&#20892;&#19994;&#20892;&#26449;&#23616;&#20915;&#31639;&#20844;&#24320;&#25253;&#34920;.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home/user/.cache/.fr-idoYhj/&#24066;&#20892;&#19994;&#20892;&#26449;&#23616;2024&#24180;&#20915;&#31639;&#20844;&#24320;9.15&#25913;/&#25856;&#26525;&#33457;&#24066;&#20892;&#19994;&#20892;&#26449;&#23616;&#21333;&#20301;/&#38468;&#20214;2&#65306;&#25856;&#26525;&#33457;&#24066;&#20892;&#19994;&#20892;&#26449;&#23616;&#20915;&#31639;&#20844;&#24320;&#25253;&#34920;.xls" TargetMode="External"/></Relationships>
</file>

<file path=word/charts/_rels/chart4.xml.rels><?xml version="1.0" encoding="UTF-8" standalone="yes"?>
<Relationships xmlns="http://schemas.openxmlformats.org/package/2006/relationships"><Relationship Id="rId2" Type="http://schemas.openxmlformats.org/officeDocument/2006/relationships/themeOverride" Target="../theme/themeOverride2.xml"/><Relationship Id="rId1" Type="http://schemas.openxmlformats.org/officeDocument/2006/relationships/oleObject" Target="/home/user/.cache/.fr-idoYhj/&#24066;&#20892;&#19994;&#20892;&#26449;&#23616;2024&#24180;&#20915;&#31639;&#20844;&#24320;9.15&#25913;/&#25856;&#26525;&#33457;&#24066;&#20892;&#19994;&#20892;&#26449;&#23616;&#21333;&#20301;/&#38468;&#20214;2&#65306;&#25856;&#26525;&#33457;&#24066;&#20892;&#19994;&#20892;&#26449;&#23616;&#20915;&#31639;&#20844;&#24320;&#25253;&#3492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ome/user/.cache/.fr-idoYhj/&#24066;&#20892;&#19994;&#20892;&#26449;&#23616;2024&#24180;&#20915;&#31639;&#20844;&#24320;9.15&#25913;/&#25856;&#26525;&#33457;&#24066;&#20892;&#19994;&#20892;&#26449;&#23616;&#21333;&#20301;/&#38468;&#20214;2&#65306;&#25856;&#26525;&#33457;&#24066;&#20892;&#19994;&#20892;&#26449;&#23616;&#20915;&#31639;&#20844;&#24320;&#25253;&#34920;.xls"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media/user/&#25968;&#25454;&#30424;4/2026/2025&#20915;&#31639;&#20844;&#24320;/&#21333;&#20301;/601001-&#25856;&#26525;&#33457;&#24066;&#20892;&#19994;&#20892;&#26449;&#23616;.xls"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media/user/&#25968;&#25454;&#30424;4/2026/2025&#20915;&#31639;&#20844;&#24320;/&#21333;&#20301;/601001-&#25856;&#26525;&#33457;&#24066;&#20892;&#19994;&#20892;&#26449;&#23616;.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ysClr val="windowText" lastClr="000000">
                  <a:lumMod val="65000"/>
                  <a:lumOff val="35000"/>
                </a:sysClr>
              </a:solidFill>
              <a:latin typeface="+mn-lt"/>
              <a:ea typeface="+mn-ea"/>
              <a:cs typeface="+mn-cs"/>
            </a:defRPr>
          </a:pPr>
        </a:p>
      </c:txPr>
    </c:title>
    <c:autoTitleDeleted val="false"/>
    <c:plotArea>
      <c:layout/>
      <c:barChart>
        <c:barDir val="col"/>
        <c:grouping val="clustered"/>
        <c:varyColors val="false"/>
        <c:ser>
          <c:idx val="0"/>
          <c:order val="0"/>
          <c:tx>
            <c:strRef>
              <c:f>'[附件2：攀枝花市农业农村局决算公开报表.xls]Sheet1'!$B$2</c:f>
              <c:strCache>
                <c:ptCount val="1"/>
                <c:pt idx="0">
                  <c:v>收入、支出决算总计变动情况图</c:v>
                </c:pt>
              </c:strCache>
            </c:strRef>
          </c:tx>
          <c:spPr>
            <a:solidFill>
              <a:srgbClr val="5B9BD5"/>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lumMod val="75000"/>
                        <a:lumOff val="25000"/>
                      </a:sys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ysClr val="windowText" lastClr="000000">
                          <a:lumMod val="35000"/>
                          <a:lumOff val="65000"/>
                        </a:sysClr>
                      </a:solidFill>
                      <a:prstDash val="solid"/>
                      <a:round/>
                    </a:ln>
                    <a:effectLst/>
                  </c:spPr>
                </c15:leaderLines>
              </c:ext>
            </c:extLst>
          </c:dLbls>
          <c:cat>
            <c:numRef>
              <c:f>'[附件2：攀枝花市农业农村局决算公开报表.xls]Sheet1'!$A$3:$A$4</c:f>
              <c:numCache>
                <c:formatCode>General</c:formatCode>
                <c:ptCount val="2"/>
                <c:pt idx="0">
                  <c:v>2024</c:v>
                </c:pt>
                <c:pt idx="1">
                  <c:v>2025</c:v>
                </c:pt>
              </c:numCache>
            </c:numRef>
          </c:cat>
          <c:val>
            <c:numRef>
              <c:f>'[附件2：攀枝花市农业农村局决算公开报表.xls]Sheet1'!$B$3:$B$4</c:f>
              <c:numCache>
                <c:formatCode>#,##0.00</c:formatCode>
                <c:ptCount val="2"/>
                <c:pt idx="0">
                  <c:v>3936.43</c:v>
                </c:pt>
                <c:pt idx="1" c:formatCode="General">
                  <c:v>4328.08</c:v>
                </c:pt>
              </c:numCache>
            </c:numRef>
          </c:val>
        </c:ser>
        <c:dLbls>
          <c:showLegendKey val="false"/>
          <c:showVal val="true"/>
          <c:showCatName val="false"/>
          <c:showSerName val="false"/>
          <c:showPercent val="false"/>
          <c:showBubbleSize val="false"/>
        </c:dLbls>
        <c:gapWidth val="219"/>
        <c:overlap val="-27"/>
        <c:axId val="336178780"/>
        <c:axId val="716216959"/>
      </c:barChart>
      <c:catAx>
        <c:axId val="336178780"/>
        <c:scaling>
          <c:orientation val="minMax"/>
        </c:scaling>
        <c:delete val="false"/>
        <c:axPos val="b"/>
        <c:title>
          <c:tx>
            <c:rich>
              <a:bodyPr rot="0" spcFirstLastPara="0" vertOverflow="ellipsis" vert="horz" wrap="square" anchor="ctr" anchorCtr="true"/>
              <a:lstStyle/>
              <a:p>
                <a:pPr defTabSz="914400">
                  <a:defRPr lang="zh-CN" sz="1000" b="0" i="0" u="none" strike="noStrike" kern="1200" baseline="0">
                    <a:solidFill>
                      <a:sysClr val="windowText" lastClr="000000">
                        <a:lumMod val="65000"/>
                        <a:lumOff val="35000"/>
                      </a:sysClr>
                    </a:solidFill>
                    <a:latin typeface="+mn-lt"/>
                    <a:ea typeface="+mn-ea"/>
                    <a:cs typeface="+mn-cs"/>
                  </a:defRPr>
                </a:pPr>
                <a:r>
                  <a:t>单位</a:t>
                </a:r>
                <a:r>
                  <a:rPr lang="en-US" altLang="zh-CN"/>
                  <a:t>:</a:t>
                </a:r>
                <a:r>
                  <a:rPr altLang="en-US"/>
                  <a:t>万元</a:t>
                </a:r>
                <a:endParaRPr altLang="en-US"/>
              </a:p>
            </c:rich>
          </c:tx>
          <c:layout>
            <c:manualLayout>
              <c:xMode val="edge"/>
              <c:yMode val="edge"/>
              <c:x val="0.719277777777778"/>
              <c:y val="0.884259259259259"/>
            </c:manualLayout>
          </c:layout>
          <c:overlay val="false"/>
          <c:spPr>
            <a:noFill/>
            <a:ln>
              <a:noFill/>
            </a:ln>
            <a:effectLst/>
          </c:spPr>
        </c:title>
        <c:majorTickMark val="none"/>
        <c:minorTickMark val="none"/>
        <c:tickLblPos val="nextTo"/>
        <c:spPr>
          <a:noFill/>
          <a:ln w="9525" cap="flat" cmpd="sng" algn="ctr">
            <a:solidFill>
              <a:sysClr val="windowText" lastClr="000000">
                <a:lumMod val="15000"/>
                <a:lumOff val="85000"/>
              </a:sysClr>
            </a:solidFill>
            <a:prstDash val="solid"/>
            <a:round/>
          </a:ln>
          <a:effectLst/>
        </c:spPr>
        <c:txPr>
          <a:bodyPr rot="-60000000" spcFirstLastPara="0" vertOverflow="ellipsis" vert="horz" wrap="square" anchor="ctr" anchorCtr="true"/>
          <a:lstStyle/>
          <a:p>
            <a:pPr>
              <a:defRPr lang="zh-CN" sz="900" b="0" i="0" u="none" strike="noStrike" kern="1200" baseline="0">
                <a:solidFill>
                  <a:sysClr val="windowText" lastClr="000000">
                    <a:lumMod val="65000"/>
                    <a:lumOff val="35000"/>
                  </a:sysClr>
                </a:solidFill>
                <a:latin typeface="+mn-lt"/>
                <a:ea typeface="+mn-ea"/>
                <a:cs typeface="+mn-cs"/>
              </a:defRPr>
            </a:pPr>
          </a:p>
        </c:txPr>
        <c:crossAx val="716216959"/>
        <c:crosses val="autoZero"/>
        <c:auto val="true"/>
        <c:lblAlgn val="ctr"/>
        <c:lblOffset val="100"/>
        <c:noMultiLvlLbl val="false"/>
      </c:catAx>
      <c:valAx>
        <c:axId val="716216959"/>
        <c:scaling>
          <c:orientation val="minMax"/>
          <c:min val="0"/>
        </c:scaling>
        <c:delete val="false"/>
        <c:axPos val="l"/>
        <c:majorGridlines>
          <c:spPr>
            <a:ln w="9525" cap="flat" cmpd="sng" algn="ctr">
              <a:solidFill>
                <a:sysClr val="windowText" lastClr="000000">
                  <a:lumMod val="15000"/>
                  <a:lumOff val="85000"/>
                </a:sysClr>
              </a:solidFill>
              <a:prstDash val="solid"/>
              <a:round/>
            </a:ln>
            <a:effectLst/>
          </c:spPr>
        </c:majorGridlines>
        <c:title>
          <c:layout/>
          <c:overlay val="false"/>
          <c:spPr>
            <a:noFill/>
            <a:ln>
              <a:noFill/>
            </a:ln>
            <a:effectLst/>
          </c:spPr>
          <c:tx>
            <c:rich>
              <a:bodyPr/>
              <a:lstStyle/>
              <a:p>
                <a:pPr>
                  <a:defRPr/>
                </a:pPr>
              </a:p>
            </c:rich>
          </c:tx>
        </c:title>
        <c:numFmt formatCode="#,##0.00"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ysClr val="windowText" lastClr="000000">
                    <a:lumMod val="65000"/>
                    <a:lumOff val="35000"/>
                  </a:sysClr>
                </a:solidFill>
                <a:latin typeface="+mn-lt"/>
                <a:ea typeface="+mn-ea"/>
                <a:cs typeface="+mn-cs"/>
              </a:defRPr>
            </a:pPr>
          </a:p>
        </c:txPr>
        <c:crossAx val="336178780"/>
        <c:crosses val="autoZero"/>
        <c:crossBetween val="between"/>
      </c:valAx>
      <c:spPr>
        <a:noFill/>
        <a:ln>
          <a:noFill/>
        </a:ln>
        <a:effectLst/>
      </c:spPr>
    </c:plotArea>
    <c:plotVisOnly val="true"/>
    <c:dispBlanksAs val="gap"/>
    <c:showDLblsOverMax val="false"/>
  </c:chart>
  <c:spPr>
    <a:solidFill>
      <a:sysClr val="window" lastClr="FFFFFF"/>
    </a:solidFill>
    <a:ln w="9525" cap="flat" cmpd="sng" algn="ctr">
      <a:solidFill>
        <a:sysClr val="windowText" lastClr="000000">
          <a:lumMod val="15000"/>
          <a:lumOff val="85000"/>
        </a:sysClr>
      </a:solidFill>
      <a:prstDash val="solid"/>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pieChart>
        <c:varyColors val="true"/>
        <c:ser>
          <c:idx val="0"/>
          <c:order val="0"/>
          <c:tx>
            <c:strRef>
              <c:f>'[附件2：攀枝花市农业农村局决算公开报表.xls]Sheet1'!$B$21</c:f>
              <c:strCache>
                <c:ptCount val="1"/>
                <c:pt idx="0">
                  <c:v>收入决算结构图</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Lbls>
            <c:dLbl>
              <c:idx val="0"/>
              <c:layout/>
              <c:tx>
                <c:rich>
                  <a:bodyPr rot="0" spcFirstLastPara="0" vertOverflow="ellipsis" vert="horz" wrap="square" lIns="38100" tIns="19050" rIns="38100" bIns="19050" anchor="ctr" anchorCtr="true"/>
                  <a:lstStyle/>
                  <a:p>
                    <a:pPr defTabSz="914400">
                      <a:defRPr lang="zh-CN" sz="900" b="0" i="0" u="none" strike="noStrike" kern="1200" baseline="0">
                        <a:solidFill>
                          <a:schemeClr val="tx1">
                            <a:lumMod val="75000"/>
                            <a:lumOff val="25000"/>
                          </a:schemeClr>
                        </a:solidFill>
                        <a:latin typeface="+mn-lt"/>
                        <a:ea typeface="+mn-ea"/>
                        <a:cs typeface="+mn-cs"/>
                      </a:defRPr>
                    </a:pPr>
                    <a:r>
                      <a:t>99</a:t>
                    </a:r>
                    <a:r>
                      <a:rPr lang="en-US" altLang="zh-CN"/>
                      <a:t>.3</a:t>
                    </a:r>
                    <a:r>
                      <a:t>%</a:t>
                    </a:r>
                  </a:p>
                </c:rich>
              </c:tx>
              <c:dLblPos val="inEnd"/>
              <c:showLegendKey val="false"/>
              <c:showVal val="false"/>
              <c:showCatName val="false"/>
              <c:showSerName val="false"/>
              <c:showPercent val="true"/>
              <c:showBubbleSize val="false"/>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true"/>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0.7</a:t>
                    </a:r>
                    <a:r>
                      <a:t>%</a:t>
                    </a:r>
                  </a:p>
                </c:rich>
              </c:tx>
              <c:dLblPos val="inEnd"/>
              <c:showLegendKey val="false"/>
              <c:showVal val="false"/>
              <c:showCatName val="false"/>
              <c:showSerName val="false"/>
              <c:showPercent val="true"/>
              <c:showBubbleSize val="false"/>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'[附件2：攀枝花市农业农村局决算公开报表.xls]Sheet1'!$A$22:$A$23</c:f>
              <c:strCache>
                <c:ptCount val="2"/>
                <c:pt idx="0">
                  <c:v>一般公共预算财政拨款收入</c:v>
                </c:pt>
                <c:pt idx="1">
                  <c:v>政府性基金预算财政拨款收入</c:v>
                </c:pt>
              </c:strCache>
            </c:strRef>
          </c:cat>
          <c:val>
            <c:numRef>
              <c:f>'[附件2：攀枝花市农业农村局决算公开报表.xls]Sheet1'!$B$22:$B$23</c:f>
              <c:numCache>
                <c:formatCode>General</c:formatCode>
                <c:ptCount val="2"/>
                <c:pt idx="0">
                  <c:v>4299.18</c:v>
                </c:pt>
                <c:pt idx="1">
                  <c:v>28.9</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pieChart>
        <c:varyColors val="true"/>
        <c:ser>
          <c:idx val="0"/>
          <c:order val="0"/>
          <c:tx>
            <c:strRef>
              <c:f>'[附件2：攀枝花市农业农村局决算公开报表.xls]Sheet1'!$B$39</c:f>
              <c:strCache>
                <c:ptCount val="1"/>
                <c:pt idx="0">
                  <c:v>支出决算结构图</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Lbls>
            <c:dLbl>
              <c:idx val="0"/>
              <c:layout/>
              <c:tx>
                <c:rich>
                  <a:bodyPr rot="0" spcFirstLastPara="0" vertOverflow="ellipsis" vert="horz" wrap="square" lIns="38100" tIns="19050" rIns="38100" bIns="19050" anchor="ctr" anchorCtr="true"/>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89.5</a:t>
                    </a:r>
                    <a:r>
                      <a:t>%</a:t>
                    </a:r>
                  </a:p>
                </c:rich>
              </c:tx>
              <c:dLblPos val="inEnd"/>
              <c:showLegendKey val="false"/>
              <c:showVal val="false"/>
              <c:showCatName val="false"/>
              <c:showSerName val="false"/>
              <c:showPercent val="true"/>
              <c:showBubbleSize val="false"/>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true"/>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10.5</a:t>
                    </a:r>
                    <a:r>
                      <a:t>%</a:t>
                    </a:r>
                  </a:p>
                </c:rich>
              </c:tx>
              <c:dLblPos val="inEnd"/>
              <c:showLegendKey val="false"/>
              <c:showVal val="false"/>
              <c:showCatName val="false"/>
              <c:showSerName val="false"/>
              <c:showPercent val="true"/>
              <c:showBubbleSize val="false"/>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'[附件2：攀枝花市农业农村局决算公开报表.xls]Sheet1'!$A$40:$A$41</c:f>
              <c:strCache>
                <c:ptCount val="2"/>
                <c:pt idx="0">
                  <c:v>基本支出</c:v>
                </c:pt>
                <c:pt idx="1">
                  <c:v>项目支出</c:v>
                </c:pt>
              </c:strCache>
            </c:strRef>
          </c:cat>
          <c:val>
            <c:numRef>
              <c:f>'[附件2：攀枝花市农业农村局决算公开报表.xls]Sheet1'!$B$40:$B$41</c:f>
              <c:numCache>
                <c:formatCode>General</c:formatCode>
                <c:ptCount val="2"/>
                <c:pt idx="0">
                  <c:v>3875.43</c:v>
                </c:pt>
                <c:pt idx="1">
                  <c:v>452.65</c:v>
                </c:pt>
              </c:numCache>
            </c:numRef>
          </c:val>
        </c:ser>
        <c:dLbls>
          <c:showLegendKey val="false"/>
          <c:showVal val="false"/>
          <c:showCatName val="false"/>
          <c:showSerName val="false"/>
          <c:showPercent val="true"/>
          <c:showBubbleSize val="false"/>
          <c:showLeaderLines val="true"/>
        </c:dLbls>
        <c:firstSliceAng val="0"/>
      </c:pieChart>
      <c:spPr>
        <a:noFill/>
        <a:ln>
          <a:noFill/>
        </a:ln>
        <a:effectLst/>
      </c:spPr>
    </c:plotArea>
    <c:legend>
      <c:legendPos val="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a:lstStyle/>
          <a:p>
            <a:pPr defTabSz="914400">
              <a:defRPr lang="zh-CN" sz="1400" b="0" i="0" u="none" strike="noStrike" kern="1200" spc="0" baseline="0">
                <a:solidFill>
                  <a:sysClr val="windowText" lastClr="000000">
                    <a:lumMod val="65000"/>
                    <a:lumOff val="35000"/>
                  </a:sysClr>
                </a:solidFill>
                <a:latin typeface="+mn-lt"/>
                <a:ea typeface="+mn-ea"/>
                <a:cs typeface="+mn-cs"/>
              </a:defRPr>
            </a:pPr>
            <a:r>
              <a:t>财政拨款收、支决算总计变动情况图</a:t>
            </a:r>
          </a:p>
        </c:rich>
      </c:tx>
      <c:layout/>
      <c:overlay val="false"/>
      <c:spPr>
        <a:noFill/>
        <a:ln>
          <a:noFill/>
        </a:ln>
        <a:effectLst/>
      </c:spPr>
    </c:title>
    <c:autoTitleDeleted val="false"/>
    <c:plotArea>
      <c:layout/>
      <c:barChart>
        <c:barDir val="col"/>
        <c:grouping val="clustered"/>
        <c:varyColors val="false"/>
        <c:ser>
          <c:idx val="0"/>
          <c:order val="0"/>
          <c:tx>
            <c:strRef>
              <c:f>'[附件2：攀枝花市农业农村局决算公开报表.xls]Sheet1'!$B$2</c:f>
              <c:strCache>
                <c:ptCount val="1"/>
                <c:pt idx="0">
                  <c:v>收入、支出决算总计变动情况图</c:v>
                </c:pt>
              </c:strCache>
            </c:strRef>
          </c:tx>
          <c:spPr>
            <a:solidFill>
              <a:srgbClr val="5B9BD5"/>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lumMod val="75000"/>
                        <a:lumOff val="25000"/>
                      </a:sys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ysClr val="windowText" lastClr="000000">
                          <a:lumMod val="35000"/>
                          <a:lumOff val="65000"/>
                        </a:sysClr>
                      </a:solidFill>
                      <a:prstDash val="solid"/>
                      <a:round/>
                    </a:ln>
                    <a:effectLst/>
                  </c:spPr>
                </c15:leaderLines>
              </c:ext>
            </c:extLst>
          </c:dLbls>
          <c:cat>
            <c:numRef>
              <c:f>'[附件2：攀枝花市农业农村局决算公开报表.xls]Sheet1'!$A$3:$A$4</c:f>
              <c:numCache>
                <c:formatCode>General</c:formatCode>
                <c:ptCount val="2"/>
                <c:pt idx="0">
                  <c:v>2024</c:v>
                </c:pt>
                <c:pt idx="1">
                  <c:v>2025</c:v>
                </c:pt>
              </c:numCache>
            </c:numRef>
          </c:cat>
          <c:val>
            <c:numRef>
              <c:f>'[附件2：攀枝花市农业农村局决算公开报表.xls]Sheet1'!$B$3:$B$4</c:f>
              <c:numCache>
                <c:formatCode>#,##0.00</c:formatCode>
                <c:ptCount val="2"/>
                <c:pt idx="0">
                  <c:v>3936.43</c:v>
                </c:pt>
                <c:pt idx="1" c:formatCode="General">
                  <c:v>4328.08</c:v>
                </c:pt>
              </c:numCache>
            </c:numRef>
          </c:val>
        </c:ser>
        <c:dLbls>
          <c:showLegendKey val="false"/>
          <c:showVal val="true"/>
          <c:showCatName val="false"/>
          <c:showSerName val="false"/>
          <c:showPercent val="false"/>
          <c:showBubbleSize val="false"/>
        </c:dLbls>
        <c:gapWidth val="219"/>
        <c:overlap val="-27"/>
        <c:axId val="336178780"/>
        <c:axId val="716216959"/>
      </c:barChart>
      <c:catAx>
        <c:axId val="336178780"/>
        <c:scaling>
          <c:orientation val="minMax"/>
        </c:scaling>
        <c:delete val="false"/>
        <c:axPos val="b"/>
        <c:title>
          <c:tx>
            <c:rich>
              <a:bodyPr rot="0" spcFirstLastPara="0" vertOverflow="ellipsis" vert="horz" wrap="square" anchor="ctr" anchorCtr="true"/>
              <a:lstStyle/>
              <a:p>
                <a:pPr defTabSz="914400">
                  <a:defRPr lang="zh-CN" sz="1000" b="0" i="0" u="none" strike="noStrike" kern="1200" baseline="0">
                    <a:solidFill>
                      <a:sysClr val="windowText" lastClr="000000">
                        <a:lumMod val="65000"/>
                        <a:lumOff val="35000"/>
                      </a:sysClr>
                    </a:solidFill>
                    <a:latin typeface="+mn-lt"/>
                    <a:ea typeface="+mn-ea"/>
                    <a:cs typeface="+mn-cs"/>
                  </a:defRPr>
                </a:pPr>
                <a:r>
                  <a:t>单位</a:t>
                </a:r>
                <a:r>
                  <a:rPr lang="en-US" altLang="zh-CN"/>
                  <a:t>:</a:t>
                </a:r>
                <a:r>
                  <a:rPr altLang="en-US"/>
                  <a:t>万元</a:t>
                </a:r>
                <a:endParaRPr altLang="en-US"/>
              </a:p>
            </c:rich>
          </c:tx>
          <c:layout>
            <c:manualLayout>
              <c:xMode val="edge"/>
              <c:yMode val="edge"/>
              <c:x val="0.719277777777778"/>
              <c:y val="0.884259259259259"/>
            </c:manualLayout>
          </c:layout>
          <c:overlay val="false"/>
          <c:spPr>
            <a:noFill/>
            <a:ln>
              <a:noFill/>
            </a:ln>
            <a:effectLst/>
          </c:spPr>
        </c:title>
        <c:majorTickMark val="none"/>
        <c:minorTickMark val="none"/>
        <c:tickLblPos val="nextTo"/>
        <c:spPr>
          <a:noFill/>
          <a:ln w="9525" cap="flat" cmpd="sng" algn="ctr">
            <a:solidFill>
              <a:sysClr val="windowText" lastClr="000000">
                <a:lumMod val="15000"/>
                <a:lumOff val="85000"/>
              </a:sysClr>
            </a:solidFill>
            <a:prstDash val="solid"/>
            <a:round/>
          </a:ln>
          <a:effectLst/>
        </c:spPr>
        <c:txPr>
          <a:bodyPr rot="-60000000" spcFirstLastPara="0" vertOverflow="ellipsis" vert="horz" wrap="square" anchor="ctr" anchorCtr="true"/>
          <a:lstStyle/>
          <a:p>
            <a:pPr>
              <a:defRPr lang="zh-CN" sz="900" b="0" i="0" u="none" strike="noStrike" kern="1200" baseline="0">
                <a:solidFill>
                  <a:sysClr val="windowText" lastClr="000000">
                    <a:lumMod val="65000"/>
                    <a:lumOff val="35000"/>
                  </a:sysClr>
                </a:solidFill>
                <a:latin typeface="+mn-lt"/>
                <a:ea typeface="+mn-ea"/>
                <a:cs typeface="+mn-cs"/>
              </a:defRPr>
            </a:pPr>
          </a:p>
        </c:txPr>
        <c:crossAx val="716216959"/>
        <c:crosses val="autoZero"/>
        <c:auto val="true"/>
        <c:lblAlgn val="ctr"/>
        <c:lblOffset val="100"/>
        <c:noMultiLvlLbl val="false"/>
      </c:catAx>
      <c:valAx>
        <c:axId val="716216959"/>
        <c:scaling>
          <c:orientation val="minMax"/>
          <c:min val="0"/>
        </c:scaling>
        <c:delete val="false"/>
        <c:axPos val="l"/>
        <c:majorGridlines>
          <c:spPr>
            <a:ln w="9525" cap="flat" cmpd="sng" algn="ctr">
              <a:solidFill>
                <a:sysClr val="windowText" lastClr="000000">
                  <a:lumMod val="15000"/>
                  <a:lumOff val="85000"/>
                </a:sysClr>
              </a:solidFill>
              <a:prstDash val="solid"/>
              <a:round/>
            </a:ln>
            <a:effectLst/>
          </c:spPr>
        </c:majorGridlines>
        <c:title>
          <c:layout/>
          <c:overlay val="false"/>
          <c:spPr>
            <a:noFill/>
            <a:ln>
              <a:noFill/>
            </a:ln>
            <a:effectLst/>
          </c:spPr>
          <c:tx>
            <c:rich>
              <a:bodyPr/>
              <a:lstStyle/>
              <a:p>
                <a:pPr>
                  <a:defRPr/>
                </a:pPr>
              </a:p>
            </c:rich>
          </c:tx>
        </c:title>
        <c:numFmt formatCode="#,##0.00"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ysClr val="windowText" lastClr="000000">
                    <a:lumMod val="65000"/>
                    <a:lumOff val="35000"/>
                  </a:sysClr>
                </a:solidFill>
                <a:latin typeface="+mn-lt"/>
                <a:ea typeface="+mn-ea"/>
                <a:cs typeface="+mn-cs"/>
              </a:defRPr>
            </a:pPr>
          </a:p>
        </c:txPr>
        <c:crossAx val="336178780"/>
        <c:crosses val="autoZero"/>
        <c:crossBetween val="between"/>
      </c:valAx>
      <c:spPr>
        <a:noFill/>
        <a:ln>
          <a:noFill/>
        </a:ln>
        <a:effectLst/>
      </c:spPr>
    </c:plotArea>
    <c:plotVisOnly val="true"/>
    <c:dispBlanksAs val="gap"/>
    <c:showDLblsOverMax val="false"/>
  </c:chart>
  <c:spPr>
    <a:solidFill>
      <a:sysClr val="window" lastClr="FFFFFF"/>
    </a:solidFill>
    <a:ln w="9525" cap="flat" cmpd="sng" algn="ctr">
      <a:solidFill>
        <a:sysClr val="windowText" lastClr="000000">
          <a:lumMod val="15000"/>
          <a:lumOff val="85000"/>
        </a:sysClr>
      </a:solidFill>
      <a:prstDash val="solid"/>
      <a:round/>
    </a:ln>
    <a:effectLst/>
  </c:spPr>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barChart>
        <c:barDir val="col"/>
        <c:grouping val="clustered"/>
        <c:varyColors val="false"/>
        <c:ser>
          <c:idx val="0"/>
          <c:order val="0"/>
          <c:tx>
            <c:strRef>
              <c:f>'[附件2：攀枝花市农业农村局决算公开报表.xls]Sheet1'!$B$57</c:f>
              <c:strCache>
                <c:ptCount val="1"/>
                <c:pt idx="0">
                  <c:v>一般公共预算财政拨款支出决算变动情况</c:v>
                </c:pt>
              </c:strCache>
            </c:strRef>
          </c:tx>
          <c:spPr>
            <a:solidFill>
              <a:schemeClr val="accent1"/>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prstDash val="solid"/>
                      <a:round/>
                    </a:ln>
                    <a:effectLst/>
                  </c:spPr>
                </c15:leaderLines>
              </c:ext>
            </c:extLst>
          </c:dLbls>
          <c:cat>
            <c:numRef>
              <c:f>'[附件2：攀枝花市农业农村局决算公开报表.xls]Sheet1'!$A$58:$A$59</c:f>
              <c:numCache>
                <c:formatCode>General</c:formatCode>
                <c:ptCount val="2"/>
                <c:pt idx="0">
                  <c:v>2024</c:v>
                </c:pt>
                <c:pt idx="1">
                  <c:v>2025</c:v>
                </c:pt>
              </c:numCache>
            </c:numRef>
          </c:cat>
          <c:val>
            <c:numRef>
              <c:f>'[附件2：攀枝花市农业农村局决算公开报表.xls]Sheet1'!$B$58:$B$59</c:f>
              <c:numCache>
                <c:formatCode>#,##0.00</c:formatCode>
                <c:ptCount val="2"/>
                <c:pt idx="0">
                  <c:v>3819.79</c:v>
                </c:pt>
                <c:pt idx="1" c:formatCode="General">
                  <c:v>4299.18</c:v>
                </c:pt>
              </c:numCache>
            </c:numRef>
          </c:val>
        </c:ser>
        <c:dLbls>
          <c:showLegendKey val="false"/>
          <c:showVal val="true"/>
          <c:showCatName val="false"/>
          <c:showSerName val="false"/>
          <c:showPercent val="false"/>
          <c:showBubbleSize val="false"/>
        </c:dLbls>
        <c:gapWidth val="219"/>
        <c:overlap val="-27"/>
        <c:axId val="755044156"/>
        <c:axId val="880678520"/>
      </c:barChart>
      <c:catAx>
        <c:axId val="755044156"/>
        <c:scaling>
          <c:orientation val="minMax"/>
        </c:scaling>
        <c:delete val="false"/>
        <c:axPos val="b"/>
        <c:title>
          <c:tx>
            <c:rich>
              <a:bodyPr rot="0" spcFirstLastPara="0" vertOverflow="ellipsis" vert="horz" wrap="square" anchor="ctr" anchorCtr="true"/>
              <a:lstStyle/>
              <a:p>
                <a:pPr defTabSz="914400">
                  <a:defRPr lang="zh-CN" sz="1000" b="0" i="0" u="none" strike="noStrike" kern="1200" baseline="0">
                    <a:solidFill>
                      <a:schemeClr val="tx1">
                        <a:lumMod val="65000"/>
                        <a:lumOff val="35000"/>
                      </a:schemeClr>
                    </a:solidFill>
                    <a:latin typeface="+mn-lt"/>
                    <a:ea typeface="+mn-ea"/>
                    <a:cs typeface="+mn-cs"/>
                  </a:defRPr>
                </a:pPr>
                <a:r>
                  <a:t>单位：万元</a:t>
                </a:r>
              </a:p>
            </c:rich>
          </c:tx>
          <c:layout>
            <c:manualLayout>
              <c:xMode val="edge"/>
              <c:yMode val="edge"/>
              <c:x val="0.721083333333333"/>
              <c:y val="0.880555555555556"/>
            </c:manualLayout>
          </c:layout>
          <c:overlay val="false"/>
          <c:spPr>
            <a:noFill/>
            <a:ln>
              <a:noFill/>
            </a:ln>
            <a:effectLst/>
          </c:spPr>
        </c:title>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880678520"/>
        <c:crosses val="autoZero"/>
        <c:auto val="true"/>
        <c:lblAlgn val="ctr"/>
        <c:lblOffset val="100"/>
        <c:noMultiLvlLbl val="false"/>
      </c:catAx>
      <c:valAx>
        <c:axId val="880678520"/>
        <c:scaling>
          <c:orientation val="minMax"/>
          <c:min val="0"/>
        </c:scaling>
        <c:delete val="false"/>
        <c:axPos val="l"/>
        <c:majorGridlines>
          <c:spPr>
            <a:ln w="9525" cap="flat" cmpd="sng" algn="ctr">
              <a:solidFill>
                <a:schemeClr val="tx1">
                  <a:lumMod val="15000"/>
                  <a:lumOff val="85000"/>
                </a:schemeClr>
              </a:solidFill>
              <a:prstDash val="solid"/>
              <a:round/>
            </a:ln>
            <a:effectLst/>
          </c:spPr>
        </c:majorGridlines>
        <c:title>
          <c:layout/>
          <c:overlay val="false"/>
          <c:spPr>
            <a:noFill/>
            <a:ln>
              <a:noFill/>
            </a:ln>
            <a:effectLst/>
          </c:spPr>
          <c:tx>
            <c:rich>
              <a:bodyPr/>
              <a:lstStyle/>
              <a:p>
                <a:pPr>
                  <a:defRPr/>
                </a:pPr>
              </a:p>
            </c:rich>
          </c:tx>
        </c:title>
        <c:numFmt formatCode="#,##0.00" sourceLinked="true"/>
        <c:majorTickMark val="none"/>
        <c:minorTickMark val="none"/>
        <c:tickLblPos val="nextTo"/>
        <c:spPr>
          <a:noFill/>
          <a:ln w="9525"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755044156"/>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pieChart>
        <c:varyColors val="true"/>
        <c:ser>
          <c:idx val="0"/>
          <c:order val="0"/>
          <c:tx>
            <c:strRef>
              <c:f>'[601001-攀枝花市农业农村局.xls]Sheet1'!$B$1</c:f>
              <c:strCache>
                <c:ptCount val="1"/>
                <c:pt idx="0">
                  <c:v>一般公共预算财政拨款支出决算结构</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Pt>
            <c:idx val="4"/>
            <c:bubble3D val="false"/>
            <c:spPr>
              <a:solidFill>
                <a:schemeClr val="accent5"/>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'[601001-攀枝花市农业农村局.xls]Sheet1'!$A$2:$A$6</c:f>
              <c:strCache>
                <c:ptCount val="5"/>
                <c:pt idx="0">
                  <c:v>一般公共服务支出</c:v>
                </c:pt>
                <c:pt idx="1">
                  <c:v>社会保障和就业支出</c:v>
                </c:pt>
                <c:pt idx="2">
                  <c:v>卫生健康支出</c:v>
                </c:pt>
                <c:pt idx="3">
                  <c:v>农林水支出</c:v>
                </c:pt>
                <c:pt idx="4">
                  <c:v>住房保障支出</c:v>
                </c:pt>
              </c:strCache>
            </c:strRef>
          </c:cat>
          <c:val>
            <c:numRef>
              <c:f>'[601001-攀枝花市农业农村局.xls]Sheet1'!$B$2:$B$6</c:f>
              <c:numCache>
                <c:formatCode>0.0%</c:formatCode>
                <c:ptCount val="5"/>
                <c:pt idx="0">
                  <c:v>0.002</c:v>
                </c:pt>
                <c:pt idx="1">
                  <c:v>0.135</c:v>
                </c:pt>
                <c:pt idx="2">
                  <c:v>0.041</c:v>
                </c:pt>
                <c:pt idx="3">
                  <c:v>0.767</c:v>
                </c:pt>
                <c:pt idx="4">
                  <c:v>0.055</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pieChart>
        <c:varyColors val="true"/>
        <c:ser>
          <c:idx val="0"/>
          <c:order val="0"/>
          <c:tx>
            <c:strRef>
              <c:f>'[601001-攀枝花市农业农村局.xls]Sheet1'!$B$1</c:f>
              <c:strCache>
                <c:ptCount val="1"/>
                <c:pt idx="0">
                  <c:v>财政拨款“三公”经费支出结构</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Lbls>
            <c:dLbl>
              <c:idx val="1"/>
              <c:layout/>
              <c:tx>
                <c:rich>
                  <a:bodyPr rot="0" spcFirstLastPara="0" vertOverflow="ellipsis" vert="horz" wrap="square" lIns="38100" tIns="19050" rIns="38100" bIns="19050" anchor="ctr" anchorCtr="true"/>
                  <a:lstStyle/>
                  <a:p>
                    <a:pPr defTabSz="914400">
                      <a:defRPr lang="zh-CN" sz="900" b="0" i="0" u="none" strike="noStrike" kern="1200" baseline="0">
                        <a:solidFill>
                          <a:schemeClr val="tx1">
                            <a:lumMod val="75000"/>
                            <a:lumOff val="25000"/>
                          </a:schemeClr>
                        </a:solidFill>
                        <a:latin typeface="+mn-lt"/>
                        <a:ea typeface="+mn-ea"/>
                        <a:cs typeface="+mn-cs"/>
                      </a:defRPr>
                    </a:pPr>
                    <a:r>
                      <a:t>87.9%</a:t>
                    </a:r>
                  </a:p>
                </c:rich>
              </c:tx>
              <c:dLblPos val="bestFit"/>
              <c:showLegendKey val="false"/>
              <c:showVal val="true"/>
              <c:showCatName val="false"/>
              <c:showSerName val="false"/>
              <c:showPercent val="false"/>
              <c:showBubbleSize val="false"/>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true"/>
                  <a:lstStyle/>
                  <a:p>
                    <a:pPr defTabSz="914400">
                      <a:defRPr lang="zh-CN" sz="900" b="0" i="0" u="none" strike="noStrike" kern="1200" baseline="0">
                        <a:solidFill>
                          <a:schemeClr val="tx1">
                            <a:lumMod val="75000"/>
                            <a:lumOff val="25000"/>
                          </a:schemeClr>
                        </a:solidFill>
                        <a:latin typeface="+mn-lt"/>
                        <a:ea typeface="+mn-ea"/>
                        <a:cs typeface="+mn-cs"/>
                      </a:defRPr>
                    </a:pPr>
                    <a:r>
                      <a:t>12.</a:t>
                    </a:r>
                    <a:r>
                      <a:rPr lang="en-US" altLang="zh-CN"/>
                      <a:t>1</a:t>
                    </a:r>
                    <a:r>
                      <a:t>%</a:t>
                    </a:r>
                  </a:p>
                </c:rich>
              </c:tx>
              <c:dLblPos val="bestFit"/>
              <c:showLegendKey val="false"/>
              <c:showVal val="true"/>
              <c:showCatName val="false"/>
              <c:showSerName val="false"/>
              <c:showPercent val="false"/>
              <c:showBubbleSize val="false"/>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'[601001-攀枝花市农业农村局.xls]Sheet1'!$A$2:$A$4</c:f>
              <c:strCache>
                <c:ptCount val="3"/>
                <c:pt idx="0">
                  <c:v>因公出国（境）费支出</c:v>
                </c:pt>
                <c:pt idx="1">
                  <c:v>公务用车购置及运行维护费支出</c:v>
                </c:pt>
                <c:pt idx="2">
                  <c:v>公务接待费支出</c:v>
                </c:pt>
              </c:strCache>
            </c:strRef>
          </c:cat>
          <c:val>
            <c:numRef>
              <c:f>'[601001-攀枝花市农业农村局.xls]Sheet1'!$B$2:$B$4</c:f>
              <c:numCache>
                <c:formatCode>0%</c:formatCode>
                <c:ptCount val="3"/>
                <c:pt idx="0">
                  <c:v>0</c:v>
                </c:pt>
                <c:pt idx="1" c:formatCode="0.00%">
                  <c:v>0.8794</c:v>
                </c:pt>
                <c:pt idx="2" c:formatCode="0.00%">
                  <c:v>0.1206</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a18f2295-47b8-4268-857c-582516f39f69}"/>
        <w:style w:val=""/>
        <w:category>
          <w:name w:val="常规"/>
          <w:gallery w:val="placeholder"/>
        </w:category>
        <w:types>
          <w:type w:val="bbPlcHdr"/>
        </w:types>
        <w:behaviors>
          <w:behavior w:val="content"/>
        </w:behaviors>
        <w:description w:val=""/>
        <w:guid w:val="{a18f2295-47b8-4268-857c-582516f39f69}"/>
      </w:docPartPr>
      <w:docPartBody>
        <w:p>
          <w:r>
            <w:rPr>
              <w:color w:val="808080"/>
            </w:rPr>
            <w:t>单击此处输入文字。</w:t>
          </w:r>
        </w:p>
      </w:docPartBody>
    </w:docPart>
    <w:docPart>
      <w:docPartPr>
        <w:name w:val="{9bb14b62-3ec5-4507-838a-7560da157ffc}"/>
        <w:style w:val=""/>
        <w:category>
          <w:name w:val="常规"/>
          <w:gallery w:val="placeholder"/>
        </w:category>
        <w:types>
          <w:type w:val="bbPlcHdr"/>
        </w:types>
        <w:behaviors>
          <w:behavior w:val="content"/>
        </w:behaviors>
        <w:description w:val=""/>
        <w:guid w:val="{9bb14b62-3ec5-4507-838a-7560da157ffc}"/>
      </w:docPartPr>
      <w:docPartBody>
        <w:p>
          <w:r>
            <w:rPr>
              <w:color w:val="808080"/>
            </w:rPr>
            <w:t>单击此处输入文字。</w:t>
          </w:r>
        </w:p>
      </w:docPartBody>
    </w:docPart>
    <w:docPart>
      <w:docPartPr>
        <w:name w:val="{7dfb9b33-3412-4f99-9d07-97b17ff8e943}"/>
        <w:style w:val=""/>
        <w:category>
          <w:name w:val="常规"/>
          <w:gallery w:val="placeholder"/>
        </w:category>
        <w:types>
          <w:type w:val="bbPlcHdr"/>
        </w:types>
        <w:behaviors>
          <w:behavior w:val="content"/>
        </w:behaviors>
        <w:description w:val=""/>
        <w:guid w:val="{7dfb9b33-3412-4f99-9d07-97b17ff8e943}"/>
      </w:docPartPr>
      <w:docPartBody>
        <w:p>
          <w:r>
            <w:rPr>
              <w:color w:val="808080"/>
            </w:rPr>
            <w:t>单击此处输入文字。</w:t>
          </w:r>
        </w:p>
      </w:docPartBody>
    </w:docPart>
    <w:docPart>
      <w:docPartPr>
        <w:name w:val="{7310a979-b623-4fad-959e-e0058c67e945}"/>
        <w:style w:val=""/>
        <w:category>
          <w:name w:val="常规"/>
          <w:gallery w:val="placeholder"/>
        </w:category>
        <w:types>
          <w:type w:val="bbPlcHdr"/>
        </w:types>
        <w:behaviors>
          <w:behavior w:val="content"/>
        </w:behaviors>
        <w:description w:val=""/>
        <w:guid w:val="{7310a979-b623-4fad-959e-e0058c67e945}"/>
      </w:docPartPr>
      <w:docPartBody>
        <w:p>
          <w:r>
            <w:rPr>
              <w:color w:val="808080"/>
            </w:rPr>
            <w:t>单击此处输入文字。</w:t>
          </w:r>
        </w:p>
      </w:docPartBody>
    </w:docPart>
    <w:docPart>
      <w:docPartPr>
        <w:name w:val="{62e4de93-3055-4b8e-ac2e-83a98dbc00b4}"/>
        <w:style w:val=""/>
        <w:category>
          <w:name w:val="常规"/>
          <w:gallery w:val="placeholder"/>
        </w:category>
        <w:types>
          <w:type w:val="bbPlcHdr"/>
        </w:types>
        <w:behaviors>
          <w:behavior w:val="content"/>
        </w:behaviors>
        <w:description w:val=""/>
        <w:guid w:val="{62e4de93-3055-4b8e-ac2e-83a98dbc00b4}"/>
      </w:docPartPr>
      <w:docPartBody>
        <w:p>
          <w:r>
            <w:rPr>
              <w:color w:val="808080"/>
            </w:rPr>
            <w:t>单击此处输入文字。</w:t>
          </w:r>
        </w:p>
      </w:docPartBody>
    </w:docPart>
    <w:docPart>
      <w:docPartPr>
        <w:name w:val="{35f11dd3-9e13-4064-8a69-9ce88776f013}"/>
        <w:style w:val=""/>
        <w:category>
          <w:name w:val="常规"/>
          <w:gallery w:val="placeholder"/>
        </w:category>
        <w:types>
          <w:type w:val="bbPlcHdr"/>
        </w:types>
        <w:behaviors>
          <w:behavior w:val="content"/>
        </w:behaviors>
        <w:description w:val=""/>
        <w:guid w:val="{35f11dd3-9e13-4064-8a69-9ce88776f013}"/>
      </w:docPartPr>
      <w:docPartBody>
        <w:p>
          <w:r>
            <w:rPr>
              <w:color w:val="808080"/>
            </w:rPr>
            <w:t>单击此处输入文字。</w:t>
          </w:r>
        </w:p>
      </w:docPartBody>
    </w:docPart>
    <w:docPart>
      <w:docPartPr>
        <w:name w:val="{a57c59cc-89ac-41a6-90a1-c1112aff2c62}"/>
        <w:style w:val=""/>
        <w:category>
          <w:name w:val="常规"/>
          <w:gallery w:val="placeholder"/>
        </w:category>
        <w:types>
          <w:type w:val="bbPlcHdr"/>
        </w:types>
        <w:behaviors>
          <w:behavior w:val="content"/>
        </w:behaviors>
        <w:description w:val=""/>
        <w:guid w:val="{a57c59cc-89ac-41a6-90a1-c1112aff2c62}"/>
      </w:docPartPr>
      <w:docPartBody>
        <w:p>
          <w:r>
            <w:rPr>
              <w:color w:val="808080"/>
            </w:rPr>
            <w:t>单击此处输入文字。</w:t>
          </w:r>
        </w:p>
      </w:docPartBody>
    </w:docPart>
    <w:docPart>
      <w:docPartPr>
        <w:name w:val="{3069d469-d869-4841-b7c1-9c9f96e89a60}"/>
        <w:style w:val=""/>
        <w:category>
          <w:name w:val="常规"/>
          <w:gallery w:val="placeholder"/>
        </w:category>
        <w:types>
          <w:type w:val="bbPlcHdr"/>
        </w:types>
        <w:behaviors>
          <w:behavior w:val="content"/>
        </w:behaviors>
        <w:description w:val=""/>
        <w:guid w:val="{3069d469-d869-4841-b7c1-9c9f96e89a60}"/>
      </w:docPartPr>
      <w:docPartBody>
        <w:p>
          <w:r>
            <w:rPr>
              <w:color w:val="808080"/>
            </w:rPr>
            <w:t>单击此处输入文字。</w:t>
          </w:r>
        </w:p>
      </w:docPartBody>
    </w:docPart>
    <w:docPart>
      <w:docPartPr>
        <w:name w:val="{4604492c-ff8c-44c9-8c55-ef35849b40d7}"/>
        <w:style w:val=""/>
        <w:category>
          <w:name w:val="常规"/>
          <w:gallery w:val="placeholder"/>
        </w:category>
        <w:types>
          <w:type w:val="bbPlcHdr"/>
        </w:types>
        <w:behaviors>
          <w:behavior w:val="content"/>
        </w:behaviors>
        <w:description w:val=""/>
        <w:guid w:val="{4604492c-ff8c-44c9-8c55-ef35849b40d7}"/>
      </w:docPartPr>
      <w:docPartBody>
        <w:p>
          <w:r>
            <w:rPr>
              <w:color w:val="808080"/>
            </w:rPr>
            <w:t>单击此处输入文字。</w:t>
          </w:r>
        </w:p>
      </w:docPartBody>
    </w:docPart>
    <w:docPart>
      <w:docPartPr>
        <w:name w:val="{b0fb4f56-8c2d-4d0f-883e-3ab0122bc9b5}"/>
        <w:style w:val=""/>
        <w:category>
          <w:name w:val="常规"/>
          <w:gallery w:val="placeholder"/>
        </w:category>
        <w:types>
          <w:type w:val="bbPlcHdr"/>
        </w:types>
        <w:behaviors>
          <w:behavior w:val="content"/>
        </w:behaviors>
        <w:description w:val=""/>
        <w:guid w:val="{b0fb4f56-8c2d-4d0f-883e-3ab0122bc9b5}"/>
      </w:docPartPr>
      <w:docPartBody>
        <w:p>
          <w:r>
            <w:rPr>
              <w:color w:val="808080"/>
            </w:rPr>
            <w:t>单击此处输入文字。</w:t>
          </w:r>
        </w:p>
      </w:docPartBody>
    </w:docPart>
    <w:docPart>
      <w:docPartPr>
        <w:name w:val="{9842dd82-d316-4602-ba79-75fb29a9cb9d}"/>
        <w:style w:val=""/>
        <w:category>
          <w:name w:val="常规"/>
          <w:gallery w:val="placeholder"/>
        </w:category>
        <w:types>
          <w:type w:val="bbPlcHdr"/>
        </w:types>
        <w:behaviors>
          <w:behavior w:val="content"/>
        </w:behaviors>
        <w:description w:val=""/>
        <w:guid w:val="{9842dd82-d316-4602-ba79-75fb29a9cb9d}"/>
      </w:docPartPr>
      <w:docPartBody>
        <w:p>
          <w:r>
            <w:rPr>
              <w:color w:val="808080"/>
            </w:rPr>
            <w:t>单击此处输入文字。</w:t>
          </w:r>
        </w:p>
      </w:docPartBody>
    </w:docPart>
    <w:docPart>
      <w:docPartPr>
        <w:name w:val="{e64b0aaf-3bac-4692-b71b-5e9ea095b096}"/>
        <w:style w:val=""/>
        <w:category>
          <w:name w:val="常规"/>
          <w:gallery w:val="placeholder"/>
        </w:category>
        <w:types>
          <w:type w:val="bbPlcHdr"/>
        </w:types>
        <w:behaviors>
          <w:behavior w:val="content"/>
        </w:behaviors>
        <w:description w:val=""/>
        <w:guid w:val="{e64b0aaf-3bac-4692-b71b-5e9ea095b096}"/>
      </w:docPartPr>
      <w:docPartBody>
        <w:p>
          <w:r>
            <w:rPr>
              <w:color w:val="808080"/>
            </w:rPr>
            <w:t>单击此处输入文字。</w:t>
          </w:r>
        </w:p>
      </w:docPartBody>
    </w:docPart>
    <w:docPart>
      <w:docPartPr>
        <w:name w:val="{179bffac-3941-4664-ad0a-e7c6f3d94ff9}"/>
        <w:style w:val=""/>
        <w:category>
          <w:name w:val="常规"/>
          <w:gallery w:val="placeholder"/>
        </w:category>
        <w:types>
          <w:type w:val="bbPlcHdr"/>
        </w:types>
        <w:behaviors>
          <w:behavior w:val="content"/>
        </w:behaviors>
        <w:description w:val=""/>
        <w:guid w:val="{179bffac-3941-4664-ad0a-e7c6f3d94ff9}"/>
      </w:docPartPr>
      <w:docPartBody>
        <w:p>
          <w:r>
            <w:rPr>
              <w:color w:val="808080"/>
            </w:rPr>
            <w:t>单击此处输入文字。</w:t>
          </w:r>
        </w:p>
      </w:docPartBody>
    </w:docPart>
    <w:docPart>
      <w:docPartPr>
        <w:name w:val="{06e66436-4c4c-4ac9-b637-d5d328399da4}"/>
        <w:style w:val=""/>
        <w:category>
          <w:name w:val="常规"/>
          <w:gallery w:val="placeholder"/>
        </w:category>
        <w:types>
          <w:type w:val="bbPlcHdr"/>
        </w:types>
        <w:behaviors>
          <w:behavior w:val="content"/>
        </w:behaviors>
        <w:description w:val=""/>
        <w:guid w:val="{06e66436-4c4c-4ac9-b637-d5d328399da4}"/>
      </w:docPartPr>
      <w:docPartBody>
        <w:p>
          <w:r>
            <w:rPr>
              <w:color w:val="808080"/>
            </w:rPr>
            <w:t>单击此处输入文字。</w:t>
          </w:r>
        </w:p>
      </w:docPartBody>
    </w:docPart>
    <w:docPart>
      <w:docPartPr>
        <w:name w:val="{25607a46-0203-4d29-bbc9-e98108e64afa}"/>
        <w:style w:val=""/>
        <w:category>
          <w:name w:val="常规"/>
          <w:gallery w:val="placeholder"/>
        </w:category>
        <w:types>
          <w:type w:val="bbPlcHdr"/>
        </w:types>
        <w:behaviors>
          <w:behavior w:val="content"/>
        </w:behaviors>
        <w:description w:val=""/>
        <w:guid w:val="{25607a46-0203-4d29-bbc9-e98108e64afa}"/>
      </w:docPartPr>
      <w:docPartBody>
        <w:p>
          <w:r>
            <w:rPr>
              <w:color w:val="808080"/>
            </w:rPr>
            <w:t>单击此处输入文字。</w:t>
          </w:r>
        </w:p>
      </w:docPartBody>
    </w:docPart>
    <w:docPart>
      <w:docPartPr>
        <w:name w:val="{afbeedf1-41cd-41c7-830a-4e50998cc57d}"/>
        <w:style w:val=""/>
        <w:category>
          <w:name w:val="常规"/>
          <w:gallery w:val="placeholder"/>
        </w:category>
        <w:types>
          <w:type w:val="bbPlcHdr"/>
        </w:types>
        <w:behaviors>
          <w:behavior w:val="content"/>
        </w:behaviors>
        <w:description w:val=""/>
        <w:guid w:val="{afbeedf1-41cd-41c7-830a-4e50998cc57d}"/>
      </w:docPartPr>
      <w:docPartBody>
        <w:p>
          <w:r>
            <w:rPr>
              <w:color w:val="808080"/>
            </w:rPr>
            <w:t>单击此处输入文字。</w:t>
          </w:r>
        </w:p>
      </w:docPartBody>
    </w:docPart>
    <w:docPart>
      <w:docPartPr>
        <w:name w:val="{d2858bfb-94e9-4462-acda-27474371dfed}"/>
        <w:style w:val=""/>
        <w:category>
          <w:name w:val="常规"/>
          <w:gallery w:val="placeholder"/>
        </w:category>
        <w:types>
          <w:type w:val="bbPlcHdr"/>
        </w:types>
        <w:behaviors>
          <w:behavior w:val="content"/>
        </w:behaviors>
        <w:description w:val=""/>
        <w:guid w:val="{d2858bfb-94e9-4462-acda-27474371dfed}"/>
      </w:docPartPr>
      <w:docPartBody>
        <w:p>
          <w:r>
            <w:rPr>
              <w:color w:val="808080"/>
            </w:rPr>
            <w:t>单击此处输入文字。</w:t>
          </w:r>
        </w:p>
      </w:docPartBody>
    </w:docPart>
    <w:docPart>
      <w:docPartPr>
        <w:name w:val="{4e4aba8f-79bf-41c3-83ed-17528771ee6e}"/>
        <w:style w:val=""/>
        <w:category>
          <w:name w:val="常规"/>
          <w:gallery w:val="placeholder"/>
        </w:category>
        <w:types>
          <w:type w:val="bbPlcHdr"/>
        </w:types>
        <w:behaviors>
          <w:behavior w:val="content"/>
        </w:behaviors>
        <w:description w:val=""/>
        <w:guid w:val="{4e4aba8f-79bf-41c3-83ed-17528771ee6e}"/>
      </w:docPartPr>
      <w:docPartBody>
        <w:p>
          <w:r>
            <w:rPr>
              <w:color w:val="808080"/>
            </w:rPr>
            <w:t>单击此处输入文字。</w:t>
          </w:r>
        </w:p>
      </w:docPartBody>
    </w:docPart>
    <w:docPart>
      <w:docPartPr>
        <w:name w:val="{f1faae17-e0fc-4475-b423-c83a9ab1c6d5}"/>
        <w:style w:val=""/>
        <w:category>
          <w:name w:val="常规"/>
          <w:gallery w:val="placeholder"/>
        </w:category>
        <w:types>
          <w:type w:val="bbPlcHdr"/>
        </w:types>
        <w:behaviors>
          <w:behavior w:val="content"/>
        </w:behaviors>
        <w:description w:val=""/>
        <w:guid w:val="{f1faae17-e0fc-4475-b423-c83a9ab1c6d5}"/>
      </w:docPartPr>
      <w:docPartBody>
        <w:p>
          <w:r>
            <w:rPr>
              <w:color w:val="808080"/>
            </w:rPr>
            <w:t>单击此处输入文字。</w:t>
          </w:r>
        </w:p>
      </w:docPartBody>
    </w:docPart>
    <w:docPart>
      <w:docPartPr>
        <w:name w:val="{031d32f5-df2f-44f7-803c-2934fcc045c2}"/>
        <w:style w:val=""/>
        <w:category>
          <w:name w:val="常规"/>
          <w:gallery w:val="placeholder"/>
        </w:category>
        <w:types>
          <w:type w:val="bbPlcHdr"/>
        </w:types>
        <w:behaviors>
          <w:behavior w:val="content"/>
        </w:behaviors>
        <w:description w:val=""/>
        <w:guid w:val="{031d32f5-df2f-44f7-803c-2934fcc045c2}"/>
      </w:docPartPr>
      <w:docPartBody>
        <w:p>
          <w:r>
            <w:rPr>
              <w:color w:val="808080"/>
            </w:rPr>
            <w:t>单击此处输入文字。</w:t>
          </w:r>
        </w:p>
      </w:docPartBody>
    </w:docPart>
    <w:docPart>
      <w:docPartPr>
        <w:name w:val="{d8c3c246-449f-4de4-8563-ba586e5cd349}"/>
        <w:style w:val=""/>
        <w:category>
          <w:name w:val="常规"/>
          <w:gallery w:val="placeholder"/>
        </w:category>
        <w:types>
          <w:type w:val="bbPlcHdr"/>
        </w:types>
        <w:behaviors>
          <w:behavior w:val="content"/>
        </w:behaviors>
        <w:description w:val=""/>
        <w:guid w:val="{d8c3c246-449f-4de4-8563-ba586e5cd349}"/>
      </w:docPartPr>
      <w:docPartBody>
        <w:p>
          <w:r>
            <w:rPr>
              <w:color w:val="808080"/>
            </w:rPr>
            <w:t>单击此处输入文字。</w:t>
          </w:r>
        </w:p>
      </w:docPartBody>
    </w:docPart>
    <w:docPart>
      <w:docPartPr>
        <w:name w:val="{9e4810a6-7bac-44bb-a446-8be25fb6b10b}"/>
        <w:style w:val=""/>
        <w:category>
          <w:name w:val="常规"/>
          <w:gallery w:val="placeholder"/>
        </w:category>
        <w:types>
          <w:type w:val="bbPlcHdr"/>
        </w:types>
        <w:behaviors>
          <w:behavior w:val="content"/>
        </w:behaviors>
        <w:description w:val=""/>
        <w:guid w:val="{9e4810a6-7bac-44bb-a446-8be25fb6b10b}"/>
      </w:docPartPr>
      <w:docPartBody>
        <w:p>
          <w:r>
            <w:rPr>
              <w:color w:val="808080"/>
            </w:rPr>
            <w:t>单击此处输入文字。</w:t>
          </w:r>
        </w:p>
      </w:docPartBody>
    </w:docPart>
    <w:docPart>
      <w:docPartPr>
        <w:name w:val="{0005b331-744a-4c1d-9fe0-4f4a38588a74}"/>
        <w:style w:val=""/>
        <w:category>
          <w:name w:val="常规"/>
          <w:gallery w:val="placeholder"/>
        </w:category>
        <w:types>
          <w:type w:val="bbPlcHdr"/>
        </w:types>
        <w:behaviors>
          <w:behavior w:val="content"/>
        </w:behaviors>
        <w:description w:val=""/>
        <w:guid w:val="{0005b331-744a-4c1d-9fe0-4f4a38588a74}"/>
      </w:docPartPr>
      <w:docPartBody>
        <w:p>
          <w:r>
            <w:rPr>
              <w:color w:val="808080"/>
            </w:rPr>
            <w:t>单击此处输入文字。</w:t>
          </w:r>
        </w:p>
      </w:docPartBody>
    </w:docPart>
    <w:docPart>
      <w:docPartPr>
        <w:name w:val="{b7f2bbe8-c3e1-4167-aa4f-40c1a08b7956}"/>
        <w:style w:val=""/>
        <w:category>
          <w:name w:val="常规"/>
          <w:gallery w:val="placeholder"/>
        </w:category>
        <w:types>
          <w:type w:val="bbPlcHdr"/>
        </w:types>
        <w:behaviors>
          <w:behavior w:val="content"/>
        </w:behaviors>
        <w:description w:val=""/>
        <w:guid w:val="{b7f2bbe8-c3e1-4167-aa4f-40c1a08b7956}"/>
      </w:docPartPr>
      <w:docPartBody>
        <w:p>
          <w:r>
            <w:rPr>
              <w:color w:val="808080"/>
            </w:rPr>
            <w:t>单击此处输入文字。</w:t>
          </w:r>
        </w:p>
      </w:docPartBody>
    </w:docPart>
    <w:docPart>
      <w:docPartPr>
        <w:name w:val="{f6cd04ce-9ec8-4ecd-bd81-9148a2e2fd0c}"/>
        <w:style w:val=""/>
        <w:category>
          <w:name w:val="常规"/>
          <w:gallery w:val="placeholder"/>
        </w:category>
        <w:types>
          <w:type w:val="bbPlcHdr"/>
        </w:types>
        <w:behaviors>
          <w:behavior w:val="content"/>
        </w:behaviors>
        <w:description w:val=""/>
        <w:guid w:val="{f6cd04ce-9ec8-4ecd-bd81-9148a2e2fd0c}"/>
      </w:docPartPr>
      <w:docPartBody>
        <w:p>
          <w:r>
            <w:rPr>
              <w:color w:val="808080"/>
            </w:rPr>
            <w:t>单击此处输入文字。</w:t>
          </w:r>
        </w:p>
      </w:docPartBody>
    </w:docPart>
    <w:docPart>
      <w:docPartPr>
        <w:name w:val="{7c1e541b-f7d0-4d19-a2ce-cc0cf982858a}"/>
        <w:style w:val=""/>
        <w:category>
          <w:name w:val="常规"/>
          <w:gallery w:val="placeholder"/>
        </w:category>
        <w:types>
          <w:type w:val="bbPlcHdr"/>
        </w:types>
        <w:behaviors>
          <w:behavior w:val="content"/>
        </w:behaviors>
        <w:description w:val=""/>
        <w:guid w:val="{7c1e541b-f7d0-4d19-a2ce-cc0cf982858a}"/>
      </w:docPartPr>
      <w:docPartBody>
        <w:p>
          <w:r>
            <w:rPr>
              <w:color w:val="808080"/>
            </w:rPr>
            <w:t>单击此处输入文字。</w:t>
          </w:r>
        </w:p>
      </w:docPartBody>
    </w:docPart>
    <w:docPart>
      <w:docPartPr>
        <w:name w:val="{482e6438-8402-44e2-855c-52b056a05ea2}"/>
        <w:style w:val=""/>
        <w:category>
          <w:name w:val="常规"/>
          <w:gallery w:val="placeholder"/>
        </w:category>
        <w:types>
          <w:type w:val="bbPlcHdr"/>
        </w:types>
        <w:behaviors>
          <w:behavior w:val="content"/>
        </w:behaviors>
        <w:description w:val=""/>
        <w:guid w:val="{482e6438-8402-44e2-855c-52b056a05ea2}"/>
      </w:docPartPr>
      <w:docPartBody>
        <w:p>
          <w:r>
            <w:rPr>
              <w:color w:val="808080"/>
            </w:rPr>
            <w:t>单击此处输入文字。</w:t>
          </w:r>
        </w:p>
      </w:docPartBody>
    </w:docPart>
    <w:docPart>
      <w:docPartPr>
        <w:name w:val="{f3143719-aaf2-415e-96b8-3ed98ef412c8}"/>
        <w:style w:val=""/>
        <w:category>
          <w:name w:val="常规"/>
          <w:gallery w:val="placeholder"/>
        </w:category>
        <w:types>
          <w:type w:val="bbPlcHdr"/>
        </w:types>
        <w:behaviors>
          <w:behavior w:val="content"/>
        </w:behaviors>
        <w:description w:val=""/>
        <w:guid w:val="{f3143719-aaf2-415e-96b8-3ed98ef412c8}"/>
      </w:docPartPr>
      <w:docPartBody>
        <w:p>
          <w:r>
            <w:rPr>
              <w:color w:val="808080"/>
            </w:rPr>
            <w:t>单击此处输入文字。</w:t>
          </w:r>
        </w:p>
      </w:docPartBody>
    </w:docPart>
    <w:docPart>
      <w:docPartPr>
        <w:name w:val="{0af2386e-910a-45ac-949d-8ef9f1097297}"/>
        <w:style w:val=""/>
        <w:category>
          <w:name w:val="常规"/>
          <w:gallery w:val="placeholder"/>
        </w:category>
        <w:types>
          <w:type w:val="bbPlcHdr"/>
        </w:types>
        <w:behaviors>
          <w:behavior w:val="content"/>
        </w:behaviors>
        <w:description w:val=""/>
        <w:guid w:val="{0af2386e-910a-45ac-949d-8ef9f1097297}"/>
      </w:docPartPr>
      <w:docPartBody>
        <w:p>
          <w:r>
            <w:rPr>
              <w:color w:val="808080"/>
            </w:rPr>
            <w:t>单击此处输入文字。</w:t>
          </w:r>
        </w:p>
      </w:docPartBody>
    </w:docPart>
    <w:docPart>
      <w:docPartPr>
        <w:name w:val="{75ebad50-d29d-4f2c-a852-6e953da84787}"/>
        <w:style w:val=""/>
        <w:category>
          <w:name w:val="常规"/>
          <w:gallery w:val="placeholder"/>
        </w:category>
        <w:types>
          <w:type w:val="bbPlcHdr"/>
        </w:types>
        <w:behaviors>
          <w:behavior w:val="content"/>
        </w:behaviors>
        <w:description w:val=""/>
        <w:guid w:val="{75ebad50-d29d-4f2c-a852-6e953da84787}"/>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22</Pages>
  <Words>6655</Words>
  <Characters>7263</Characters>
  <Lines>63</Lines>
  <Paragraphs>17</Paragraphs>
  <TotalTime>0</TotalTime>
  <ScaleCrop>false</ScaleCrop>
  <LinksUpToDate>false</LinksUpToDate>
  <CharactersWithSpaces>7417</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2020-08-13T01:49:00Z</dcterms:created>
  <dc:creator>曹颖</dc:creator>
  <cp:lastModifiedBy>user</cp:lastModifiedBy>
  <cp:lastPrinted>2026-08-31T08:27:00Z</cp:lastPrinted>
  <dcterms:modified xsi:type="dcterms:W3CDTF">2026-09-11T10:04:01Z</dcterms:modified>
  <dc:title>四川省***</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3BF536824C220DA3E40E8B68BA118B1C_42</vt:lpwstr>
  </property>
  <property fmtid="{D5CDD505-2E9C-101B-9397-08002B2CF9AE}" pid="4" name="KSOTemplateDocerSaveRecord">
    <vt:lpwstr>eyJoZGlkIjoiMDE2ZDFkMGRmMzUwMjA1MjQzNGRiM2IwYWUxNjZlYzEiLCJ1c2VySWQiOiI2NDI0ODM5NDQifQ==</vt:lpwstr>
  </property>
</Properties>
</file>